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FC6A">
      <w:pPr>
        <w:spacing w:before="48" w:line="225" w:lineRule="auto"/>
        <w:ind w:left="7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附</w:t>
      </w:r>
      <w:r>
        <w:rPr>
          <w:rFonts w:ascii="黑体" w:hAnsi="黑体" w:eastAsia="黑体" w:cs="黑体"/>
          <w:sz w:val="24"/>
          <w:szCs w:val="24"/>
        </w:rPr>
        <w:t>1-1</w:t>
      </w:r>
    </w:p>
    <w:p w14:paraId="334328D5">
      <w:pPr>
        <w:spacing w:before="126" w:line="223" w:lineRule="auto"/>
        <w:ind w:left="376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绩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效目标申报表</w:t>
      </w:r>
    </w:p>
    <w:p w14:paraId="3960D3AD">
      <w:pPr>
        <w:spacing w:before="118" w:line="221" w:lineRule="auto"/>
        <w:ind w:left="42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4"/>
          <w:sz w:val="22"/>
          <w:szCs w:val="22"/>
        </w:rPr>
        <w:t>(</w:t>
      </w:r>
      <w:r>
        <w:rPr>
          <w:rFonts w:hint="eastAsia" w:ascii="宋体" w:hAnsi="宋体" w:eastAsia="宋体" w:cs="宋体"/>
          <w:spacing w:val="14"/>
          <w:sz w:val="22"/>
          <w:szCs w:val="22"/>
          <w:lang w:val="en-US" w:eastAsia="zh-CN"/>
        </w:rPr>
        <w:t>2024</w:t>
      </w:r>
      <w:r>
        <w:rPr>
          <w:rFonts w:ascii="宋体" w:hAnsi="宋体" w:eastAsia="宋体" w:cs="宋体"/>
          <w:spacing w:val="14"/>
          <w:sz w:val="22"/>
          <w:szCs w:val="22"/>
        </w:rPr>
        <w:t>年度)</w:t>
      </w:r>
    </w:p>
    <w:p w14:paraId="481D0FC4">
      <w:pPr>
        <w:spacing w:line="106" w:lineRule="exact"/>
      </w:pPr>
    </w:p>
    <w:tbl>
      <w:tblPr>
        <w:tblStyle w:val="4"/>
        <w:tblW w:w="97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32"/>
        <w:gridCol w:w="1378"/>
        <w:gridCol w:w="1486"/>
        <w:gridCol w:w="2506"/>
        <w:gridCol w:w="966"/>
        <w:gridCol w:w="1282"/>
      </w:tblGrid>
      <w:tr w14:paraId="42F31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114DA4">
            <w:pPr>
              <w:spacing w:before="68" w:line="229" w:lineRule="auto"/>
              <w:ind w:left="6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EF8ED2">
            <w:pPr>
              <w:spacing w:before="68" w:line="229" w:lineRule="auto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eastAsia="zh-CN"/>
              </w:rPr>
              <w:t>兴庆区掌政镇马路市场改造提升项目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C14F06">
            <w:pPr>
              <w:spacing w:before="69" w:line="226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目负责人及联系电话</w:t>
            </w:r>
          </w:p>
        </w:tc>
        <w:tc>
          <w:tcPr>
            <w:tcW w:w="2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E7825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张娟6144411</w:t>
            </w:r>
          </w:p>
        </w:tc>
      </w:tr>
      <w:tr w14:paraId="49EBB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0008EF">
            <w:pPr>
              <w:spacing w:before="69" w:line="229" w:lineRule="auto"/>
              <w:ind w:left="6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门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93DA47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兴庆区乡村振兴局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89227">
            <w:pPr>
              <w:spacing w:before="68" w:line="226" w:lineRule="auto"/>
              <w:ind w:left="8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2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3ED4A0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兴庆区掌政镇</w:t>
            </w:r>
          </w:p>
        </w:tc>
      </w:tr>
      <w:tr w14:paraId="2A894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3BF40C">
            <w:pPr>
              <w:spacing w:before="262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资金情况</w:t>
            </w:r>
          </w:p>
          <w:p w14:paraId="75EB500A">
            <w:pPr>
              <w:spacing w:line="229" w:lineRule="auto"/>
              <w:ind w:left="6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(万元)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7A5DC8">
            <w:pPr>
              <w:spacing w:before="68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年度资金总</w:t>
            </w:r>
            <w:r>
              <w:rPr>
                <w:rFonts w:ascii="宋体" w:hAnsi="宋体" w:eastAsia="宋体" w:cs="宋体"/>
                <w:sz w:val="19"/>
                <w:szCs w:val="19"/>
              </w:rPr>
              <w:t>额：</w:t>
            </w:r>
          </w:p>
        </w:tc>
        <w:tc>
          <w:tcPr>
            <w:tcW w:w="47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81BA1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232万元</w:t>
            </w:r>
          </w:p>
        </w:tc>
      </w:tr>
      <w:tr w14:paraId="7022C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8AC41E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087DC4">
            <w:pPr>
              <w:spacing w:before="69" w:line="227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其中：财政拨款</w:t>
            </w:r>
          </w:p>
        </w:tc>
        <w:tc>
          <w:tcPr>
            <w:tcW w:w="47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4764C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162万元</w:t>
            </w:r>
          </w:p>
        </w:tc>
      </w:tr>
      <w:tr w14:paraId="19AC7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8C63F85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F77E88">
            <w:pPr>
              <w:spacing w:before="69" w:line="227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</w:p>
        </w:tc>
        <w:tc>
          <w:tcPr>
            <w:tcW w:w="47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38017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70万元</w:t>
            </w:r>
          </w:p>
        </w:tc>
      </w:tr>
      <w:tr w14:paraId="59A59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6F8D669E">
            <w:pPr>
              <w:spacing w:before="234" w:line="217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体 目 标</w:t>
            </w:r>
          </w:p>
        </w:tc>
        <w:tc>
          <w:tcPr>
            <w:tcW w:w="905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01E7E6">
            <w:pPr>
              <w:spacing w:before="69" w:line="229" w:lineRule="auto"/>
              <w:ind w:left="4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年度目标</w:t>
            </w:r>
          </w:p>
        </w:tc>
      </w:tr>
      <w:tr w14:paraId="5F495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8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5C87476">
            <w:pPr>
              <w:rPr>
                <w:rFonts w:ascii="Arial"/>
                <w:sz w:val="21"/>
              </w:rPr>
            </w:pPr>
          </w:p>
        </w:tc>
        <w:tc>
          <w:tcPr>
            <w:tcW w:w="905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AEA67D">
            <w:pPr>
              <w:spacing w:before="9" w:line="193" w:lineRule="auto"/>
              <w:ind w:left="145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</w:p>
          <w:p w14:paraId="0457241F">
            <w:pPr>
              <w:spacing w:before="9" w:line="193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打造掌政小城镇沿街马路市场，对将军街、鸣翠湖路沿街500米进行改造，采购凉棚、休闲休憩设施、卫生设施、 指示牌等设施。对马路及周边进行特色街区布置，添加装饰、灯光等内容。</w:t>
            </w:r>
          </w:p>
        </w:tc>
      </w:tr>
      <w:tr w14:paraId="5A0B9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0E7F1083">
            <w:pPr>
              <w:spacing w:before="233" w:line="213" w:lineRule="auto"/>
              <w:ind w:left="4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效 指 标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9F373A">
            <w:pPr>
              <w:spacing w:before="65" w:line="230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CB0304">
            <w:pPr>
              <w:spacing w:before="75" w:line="225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52E80F">
            <w:pPr>
              <w:spacing w:before="65" w:line="230" w:lineRule="auto"/>
              <w:ind w:left="2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5C14C6">
            <w:pPr>
              <w:spacing w:before="75" w:line="225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值</w:t>
            </w:r>
          </w:p>
        </w:tc>
      </w:tr>
      <w:tr w14:paraId="2758B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19735E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16DB0D2">
            <w:pPr>
              <w:spacing w:line="266" w:lineRule="auto"/>
              <w:rPr>
                <w:rFonts w:ascii="Arial"/>
                <w:sz w:val="21"/>
              </w:rPr>
            </w:pPr>
          </w:p>
          <w:p w14:paraId="44F0CA63">
            <w:pPr>
              <w:spacing w:line="266" w:lineRule="auto"/>
              <w:rPr>
                <w:rFonts w:ascii="Arial"/>
                <w:sz w:val="21"/>
              </w:rPr>
            </w:pPr>
          </w:p>
          <w:p w14:paraId="0F2FB922">
            <w:pPr>
              <w:spacing w:line="266" w:lineRule="auto"/>
              <w:rPr>
                <w:rFonts w:ascii="Arial"/>
                <w:sz w:val="21"/>
              </w:rPr>
            </w:pPr>
          </w:p>
          <w:p w14:paraId="196867C0">
            <w:pPr>
              <w:spacing w:line="266" w:lineRule="auto"/>
              <w:rPr>
                <w:rFonts w:ascii="Arial"/>
                <w:sz w:val="21"/>
              </w:rPr>
            </w:pPr>
          </w:p>
          <w:p w14:paraId="76B9A8F7">
            <w:pPr>
              <w:spacing w:line="266" w:lineRule="auto"/>
              <w:rPr>
                <w:rFonts w:ascii="Arial"/>
                <w:sz w:val="21"/>
              </w:rPr>
            </w:pPr>
          </w:p>
          <w:p w14:paraId="793E73D7">
            <w:pPr>
              <w:spacing w:line="267" w:lineRule="auto"/>
              <w:rPr>
                <w:rFonts w:ascii="Arial"/>
                <w:sz w:val="21"/>
              </w:rPr>
            </w:pPr>
          </w:p>
          <w:p w14:paraId="13ED8D59">
            <w:pPr>
              <w:spacing w:line="267" w:lineRule="auto"/>
              <w:rPr>
                <w:rFonts w:ascii="Arial"/>
                <w:sz w:val="21"/>
              </w:rPr>
            </w:pPr>
          </w:p>
          <w:p w14:paraId="6A775C5D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出指标</w:t>
            </w:r>
          </w:p>
        </w:tc>
        <w:tc>
          <w:tcPr>
            <w:tcW w:w="1378" w:type="dxa"/>
            <w:vMerge w:val="restart"/>
            <w:tcBorders>
              <w:top w:val="single" w:color="000000" w:sz="2" w:space="0"/>
            </w:tcBorders>
            <w:vAlign w:val="top"/>
          </w:tcPr>
          <w:p w14:paraId="53240A72">
            <w:pPr>
              <w:spacing w:line="313" w:lineRule="auto"/>
              <w:rPr>
                <w:rFonts w:ascii="Arial"/>
                <w:sz w:val="21"/>
              </w:rPr>
            </w:pPr>
          </w:p>
          <w:p w14:paraId="59389C50">
            <w:pPr>
              <w:spacing w:before="62" w:line="229" w:lineRule="auto"/>
              <w:ind w:left="29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289320D1">
            <w:pPr>
              <w:spacing w:before="62" w:line="22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数量指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846290">
            <w:pPr>
              <w:spacing w:before="65" w:line="230" w:lineRule="auto"/>
              <w:ind w:left="140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果树摊位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E75E1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50个</w:t>
            </w:r>
          </w:p>
        </w:tc>
      </w:tr>
      <w:tr w14:paraId="3B178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AA1875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vAlign w:val="top"/>
          </w:tcPr>
          <w:p w14:paraId="55AE955F">
            <w:pPr>
              <w:spacing w:before="62" w:line="229" w:lineRule="auto"/>
              <w:ind w:left="317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378" w:type="dxa"/>
            <w:vMerge w:val="continue"/>
            <w:tcBorders/>
            <w:vAlign w:val="top"/>
          </w:tcPr>
          <w:p w14:paraId="7A003EF3">
            <w:pPr>
              <w:spacing w:before="62" w:line="229" w:lineRule="auto"/>
              <w:ind w:left="29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F26C72">
            <w:pPr>
              <w:spacing w:before="65" w:line="230" w:lineRule="auto"/>
              <w:ind w:left="140"/>
              <w:rPr>
                <w:rFonts w:hint="default" w:ascii="宋体" w:hAnsi="宋体" w:eastAsia="宋体" w:cs="宋体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2：凉皮摊位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48272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8个</w:t>
            </w:r>
          </w:p>
        </w:tc>
      </w:tr>
      <w:tr w14:paraId="1EB6C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C28DBA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vAlign w:val="top"/>
          </w:tcPr>
          <w:p w14:paraId="7F226C43">
            <w:pPr>
              <w:spacing w:before="62" w:line="229" w:lineRule="auto"/>
              <w:ind w:left="317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378" w:type="dxa"/>
            <w:vMerge w:val="continue"/>
            <w:tcBorders/>
            <w:vAlign w:val="top"/>
          </w:tcPr>
          <w:p w14:paraId="1FB84A98">
            <w:pPr>
              <w:spacing w:before="62" w:line="229" w:lineRule="auto"/>
              <w:ind w:left="29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E171B2">
            <w:pPr>
              <w:spacing w:before="65" w:line="230" w:lineRule="auto"/>
              <w:ind w:left="140"/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维修铺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3A9BE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3个</w:t>
            </w:r>
          </w:p>
        </w:tc>
      </w:tr>
      <w:tr w14:paraId="6C935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71A167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vAlign w:val="top"/>
          </w:tcPr>
          <w:p w14:paraId="2C047AB0">
            <w:pPr>
              <w:spacing w:before="62" w:line="229" w:lineRule="auto"/>
              <w:ind w:left="317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</w:p>
        </w:tc>
        <w:tc>
          <w:tcPr>
            <w:tcW w:w="1378" w:type="dxa"/>
            <w:vMerge w:val="continue"/>
            <w:tcBorders>
              <w:bottom w:val="nil"/>
            </w:tcBorders>
            <w:vAlign w:val="top"/>
          </w:tcPr>
          <w:p w14:paraId="6FB5A4E7">
            <w:pPr>
              <w:spacing w:before="62" w:line="229" w:lineRule="auto"/>
              <w:ind w:left="293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7C1609">
            <w:pPr>
              <w:spacing w:before="65" w:line="230" w:lineRule="auto"/>
              <w:ind w:left="140"/>
              <w:rPr>
                <w:rFonts w:hint="default" w:ascii="宋体" w:hAnsi="宋体" w:eastAsia="宋体" w:cs="宋体"/>
                <w:spacing w:val="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4：公交车站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A817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2个</w:t>
            </w:r>
          </w:p>
        </w:tc>
      </w:tr>
      <w:tr w14:paraId="50982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B5A4B7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309792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D8B6E">
            <w:pPr>
              <w:spacing w:before="61" w:line="230" w:lineRule="auto"/>
              <w:ind w:firstLine="408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58E40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项目验收合格率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4EC23EC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3E88C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A8DD12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63F063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E99DA">
            <w:pPr>
              <w:spacing w:line="316" w:lineRule="auto"/>
              <w:rPr>
                <w:rFonts w:ascii="Arial"/>
                <w:sz w:val="21"/>
              </w:rPr>
            </w:pPr>
          </w:p>
          <w:p w14:paraId="18322A0F">
            <w:pPr>
              <w:spacing w:before="6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时效指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41924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项目完成时限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7DBE9CA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2024年10月</w:t>
            </w:r>
          </w:p>
        </w:tc>
      </w:tr>
      <w:tr w14:paraId="18FDA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00EF24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5B9725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A5543"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BC07F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资金支付率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7C7A5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1C062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DC88B3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0D1400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67945">
            <w:pPr>
              <w:spacing w:before="62" w:line="229" w:lineRule="auto"/>
              <w:ind w:firstLine="204" w:firstLineChars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成本指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899ED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资金投入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79A24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232万元</w:t>
            </w:r>
          </w:p>
        </w:tc>
      </w:tr>
      <w:tr w14:paraId="65964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2C22E0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788315F">
            <w:pPr>
              <w:spacing w:line="266" w:lineRule="auto"/>
              <w:rPr>
                <w:rFonts w:ascii="Arial"/>
                <w:sz w:val="21"/>
              </w:rPr>
            </w:pPr>
          </w:p>
          <w:p w14:paraId="1D68504D">
            <w:pPr>
              <w:spacing w:line="266" w:lineRule="auto"/>
              <w:rPr>
                <w:rFonts w:ascii="Arial"/>
                <w:sz w:val="21"/>
              </w:rPr>
            </w:pPr>
          </w:p>
          <w:p w14:paraId="6CBC12D2">
            <w:pPr>
              <w:spacing w:line="266" w:lineRule="auto"/>
              <w:rPr>
                <w:rFonts w:ascii="Arial"/>
                <w:sz w:val="21"/>
              </w:rPr>
            </w:pPr>
          </w:p>
          <w:p w14:paraId="684158A0">
            <w:pPr>
              <w:spacing w:line="267" w:lineRule="auto"/>
              <w:rPr>
                <w:rFonts w:ascii="Arial"/>
                <w:sz w:val="21"/>
              </w:rPr>
            </w:pPr>
          </w:p>
          <w:p w14:paraId="48BFF419">
            <w:pPr>
              <w:spacing w:line="267" w:lineRule="auto"/>
              <w:rPr>
                <w:rFonts w:ascii="Arial"/>
                <w:sz w:val="21"/>
              </w:rPr>
            </w:pPr>
          </w:p>
          <w:p w14:paraId="7871EB85">
            <w:pPr>
              <w:spacing w:line="267" w:lineRule="auto"/>
              <w:rPr>
                <w:rFonts w:ascii="Arial"/>
                <w:sz w:val="21"/>
              </w:rPr>
            </w:pPr>
          </w:p>
          <w:p w14:paraId="05F879A0">
            <w:pPr>
              <w:spacing w:line="267" w:lineRule="auto"/>
              <w:rPr>
                <w:rFonts w:ascii="Arial"/>
                <w:sz w:val="21"/>
              </w:rPr>
            </w:pPr>
          </w:p>
          <w:p w14:paraId="7B4FDC52">
            <w:pPr>
              <w:spacing w:before="62" w:line="230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378" w:type="dxa"/>
            <w:tcBorders>
              <w:top w:val="single" w:color="000000" w:sz="2" w:space="0"/>
              <w:bottom w:val="nil"/>
            </w:tcBorders>
            <w:vAlign w:val="top"/>
          </w:tcPr>
          <w:p w14:paraId="5DD79C29">
            <w:pPr>
              <w:spacing w:before="257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经济效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益</w:t>
            </w:r>
          </w:p>
          <w:p w14:paraId="7A4B7783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872D00">
            <w:pPr>
              <w:spacing w:before="67" w:line="230" w:lineRule="auto"/>
              <w:ind w:left="14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带动老百姓的收入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19E60B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明显带动</w:t>
            </w:r>
            <w:bookmarkStart w:id="0" w:name="_GoBack"/>
            <w:bookmarkEnd w:id="0"/>
          </w:p>
        </w:tc>
      </w:tr>
      <w:tr w14:paraId="1598D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15A6F7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17ACCD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nil"/>
            </w:tcBorders>
            <w:vAlign w:val="top"/>
          </w:tcPr>
          <w:p w14:paraId="121ED8C3">
            <w:pPr>
              <w:spacing w:before="257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益</w:t>
            </w:r>
          </w:p>
          <w:p w14:paraId="1648510E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225D52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有助于提升掌政镇集市摊贩和附近居民的安全水平；保障附近道路的交通安全。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C5B07C">
            <w:pPr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为居民提供安全便捷服务</w:t>
            </w:r>
          </w:p>
        </w:tc>
      </w:tr>
      <w:tr w14:paraId="7399D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1E40BA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596798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nil"/>
            </w:tcBorders>
            <w:vAlign w:val="top"/>
          </w:tcPr>
          <w:p w14:paraId="193072C5">
            <w:pPr>
              <w:spacing w:before="257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生态效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益</w:t>
            </w:r>
          </w:p>
          <w:p w14:paraId="25C23DD9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7E813A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区域生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活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环境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79A30F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明显改善</w:t>
            </w:r>
          </w:p>
        </w:tc>
      </w:tr>
      <w:tr w14:paraId="62837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998DF2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29F974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1C57A7A">
            <w:pPr>
              <w:spacing w:before="257" w:line="256" w:lineRule="auto"/>
              <w:ind w:left="495" w:right="181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持续影响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54E526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带动掌政镇商户形成规范经营的意识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82D382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长期促进</w:t>
            </w:r>
          </w:p>
        </w:tc>
      </w:tr>
      <w:tr w14:paraId="0676B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5B00D6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62692E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1D89E4B4"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4D59F0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区域生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活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环境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5A8044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明显改善</w:t>
            </w:r>
          </w:p>
        </w:tc>
      </w:tr>
      <w:tr w14:paraId="1A6C1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CF090D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nil"/>
            </w:tcBorders>
            <w:vAlign w:val="top"/>
          </w:tcPr>
          <w:p w14:paraId="53FD30EE">
            <w:pPr>
              <w:spacing w:line="471" w:lineRule="auto"/>
              <w:rPr>
                <w:rFonts w:ascii="Arial"/>
                <w:sz w:val="21"/>
              </w:rPr>
            </w:pPr>
          </w:p>
          <w:p w14:paraId="434DCC52">
            <w:pPr>
              <w:spacing w:before="62" w:line="229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1378" w:type="dxa"/>
            <w:tcBorders>
              <w:top w:val="single" w:color="000000" w:sz="2" w:space="0"/>
              <w:bottom w:val="nil"/>
            </w:tcBorders>
            <w:vAlign w:val="top"/>
          </w:tcPr>
          <w:p w14:paraId="02B90958">
            <w:pPr>
              <w:spacing w:before="258" w:line="255" w:lineRule="auto"/>
              <w:ind w:left="193" w:right="181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务对象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311F5C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受益群众满意率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EB13A2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》90%</w:t>
            </w:r>
          </w:p>
        </w:tc>
      </w:tr>
    </w:tbl>
    <w:p w14:paraId="674EBF96">
      <w:pPr>
        <w:spacing w:before="26" w:line="226" w:lineRule="auto"/>
        <w:ind w:left="5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注：1. “</w:t>
      </w:r>
      <w:r>
        <w:rPr>
          <w:rFonts w:ascii="宋体" w:hAnsi="宋体" w:eastAsia="宋体" w:cs="宋体"/>
          <w:spacing w:val="8"/>
          <w:sz w:val="19"/>
          <w:szCs w:val="19"/>
        </w:rPr>
        <w:t>其</w:t>
      </w:r>
      <w:r>
        <w:rPr>
          <w:rFonts w:ascii="宋体" w:hAnsi="宋体" w:eastAsia="宋体" w:cs="宋体"/>
          <w:spacing w:val="5"/>
          <w:sz w:val="19"/>
          <w:szCs w:val="19"/>
        </w:rPr>
        <w:t>他资金”是指与财政拨款共同用于同一脱贫攻坚项目的单位自有资金、社会资金等。</w:t>
      </w:r>
    </w:p>
    <w:p w14:paraId="31A58445">
      <w:pPr>
        <w:spacing w:before="15" w:line="258" w:lineRule="exact"/>
        <w:ind w:left="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position w:val="1"/>
          <w:sz w:val="19"/>
          <w:szCs w:val="19"/>
        </w:rPr>
        <w:t>2.各地请根据实际情况，选择适合的二级指标进行填报，并细化为三级指标和指标值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。</w:t>
      </w:r>
    </w:p>
    <w:sectPr>
      <w:footerReference r:id="rId5" w:type="default"/>
      <w:pgSz w:w="11904" w:h="16836"/>
      <w:pgMar w:top="1156" w:right="1029" w:bottom="842" w:left="1125" w:header="0" w:footer="6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F36D1">
    <w:pPr>
      <w:spacing w:line="184" w:lineRule="auto"/>
      <w:ind w:left="477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zNGNjMmJlYTg2NmYzODQyZjEwYzk2ZDQwZTNmYTIifQ=="/>
  </w:docVars>
  <w:rsids>
    <w:rsidRoot w:val="00000000"/>
    <w:rsid w:val="0267096E"/>
    <w:rsid w:val="0DC9092E"/>
    <w:rsid w:val="73674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578</Words>
  <Characters>654</Characters>
  <TotalTime>7</TotalTime>
  <ScaleCrop>false</ScaleCrop>
  <LinksUpToDate>false</LinksUpToDate>
  <CharactersWithSpaces>663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2018-05-28T12:53:00Z</dcterms:created>
  <dc:creator>郑涌</dc:creator>
  <cp:lastModifiedBy>WPS_1696906848</cp:lastModifiedBy>
  <dcterms:modified xsi:type="dcterms:W3CDTF">2024-11-07T09:42:29Z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2022-11-04T09:10:19Z</vt:filetime>
  </property>
  <property fmtid="{D5CDD505-2E9C-101B-9397-08002B2CF9AE}" pid="4" name="KSOProductBuildVer">
    <vt:lpwstr>2052-12.1.0.18608</vt:lpwstr>
  </property>
  <property fmtid="{D5CDD505-2E9C-101B-9397-08002B2CF9AE}" pid="5" name="ICV">
    <vt:lpwstr>C1A1B399EB634B138A4443B516D2A940_13</vt:lpwstr>
  </property>
</Properties>
</file>