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color w:val="000000"/>
          <w:kern w:val="0"/>
          <w:sz w:val="28"/>
          <w:szCs w:val="28"/>
          <w:lang w:val="en-US" w:eastAsia="zh-CN"/>
        </w:rPr>
      </w:pPr>
      <w:r>
        <w:rPr>
          <w:rFonts w:hint="eastAsia" w:ascii="方正小标宋_GBK" w:hAnsi="方正小标宋_GBK" w:eastAsia="方正小标宋_GBK" w:cs="方正小标宋_GBK"/>
          <w:color w:val="000000"/>
          <w:kern w:val="0"/>
          <w:sz w:val="32"/>
          <w:szCs w:val="32"/>
          <w:lang w:val="en-US" w:eastAsia="zh-CN"/>
        </w:rPr>
        <w:t>兴庆区落实“谁执法谁普法”责任制“四清单”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 xml:space="preserve">单位（签章）：                                                                     2021年 4月30日 </w:t>
      </w:r>
    </w:p>
    <w:tbl>
      <w:tblPr>
        <w:tblStyle w:val="7"/>
        <w:tblW w:w="15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39"/>
        <w:gridCol w:w="1371"/>
        <w:gridCol w:w="2190"/>
        <w:gridCol w:w="1072"/>
        <w:gridCol w:w="1588"/>
        <w:gridCol w:w="1300"/>
        <w:gridCol w:w="1425"/>
        <w:gridCol w:w="161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4"/>
                <w:szCs w:val="24"/>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类别</w:t>
            </w:r>
          </w:p>
        </w:tc>
        <w:tc>
          <w:tcPr>
            <w:tcW w:w="321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32"/>
                <w:szCs w:val="32"/>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内容清单</w:t>
            </w:r>
          </w:p>
        </w:tc>
        <w:tc>
          <w:tcPr>
            <w:tcW w:w="326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32"/>
                <w:szCs w:val="32"/>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措施清单</w:t>
            </w:r>
          </w:p>
        </w:tc>
        <w:tc>
          <w:tcPr>
            <w:tcW w:w="431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32"/>
                <w:szCs w:val="32"/>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责任清单</w:t>
            </w:r>
          </w:p>
        </w:tc>
        <w:tc>
          <w:tcPr>
            <w:tcW w:w="357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32"/>
                <w:szCs w:val="32"/>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标准清单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4"/>
                <w:szCs w:val="24"/>
                <w:vertAlign w:val="baseline"/>
                <w:lang w:val="en-US" w:eastAsia="zh-CN"/>
              </w:rPr>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普法内容</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普法对象</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sz w:val="21"/>
                <w:szCs w:val="21"/>
                <w:vertAlign w:val="baseline"/>
                <w:lang w:eastAsia="zh-CN"/>
              </w:rPr>
              <w:t>普法推进具体措施</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完成时限</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牵头责任部门</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第一责任人</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分管责任人</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组织领导方面</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vertAlign w:val="baseline"/>
                <w:lang w:eastAsia="zh-CN"/>
              </w:rPr>
              <w:t>普法工作开展方面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jc w:val="center"/>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bidi="ar-SA"/>
              </w:rPr>
              <w:t>系统内学法</w:t>
            </w: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习近平新时代中国特色社会主义思想，习近平法治思想、</w:t>
            </w:r>
            <w:r>
              <w:rPr>
                <w:rFonts w:hint="eastAsia" w:ascii="仿宋" w:hAnsi="仿宋" w:eastAsia="仿宋" w:cs="仿宋_GB2312"/>
                <w:kern w:val="0"/>
                <w:sz w:val="24"/>
              </w:rPr>
              <w:t>习近平系列讲话、</w:t>
            </w:r>
            <w:r>
              <w:rPr>
                <w:rFonts w:hint="eastAsia" w:ascii="仿宋" w:hAnsi="仿宋" w:eastAsia="仿宋" w:cs="仿宋_GB2312"/>
                <w:kern w:val="0"/>
                <w:sz w:val="24"/>
                <w:lang w:eastAsia="zh-CN"/>
              </w:rPr>
              <w:t>党史学习教育内容、《党章》、《</w:t>
            </w:r>
            <w:r>
              <w:rPr>
                <w:rFonts w:hint="eastAsia" w:ascii="仿宋" w:hAnsi="仿宋" w:eastAsia="仿宋" w:cs="仿宋_GB2312"/>
                <w:kern w:val="0"/>
                <w:sz w:val="24"/>
                <w:lang w:val="en-US" w:eastAsia="zh-CN"/>
              </w:rPr>
              <w:t>中国共产党党内监督条例</w:t>
            </w:r>
            <w:r>
              <w:rPr>
                <w:rFonts w:hint="eastAsia" w:ascii="仿宋" w:hAnsi="仿宋" w:eastAsia="仿宋" w:cs="仿宋_GB2312"/>
                <w:kern w:val="0"/>
                <w:sz w:val="24"/>
                <w:lang w:eastAsia="zh-CN"/>
              </w:rPr>
              <w:t>》</w:t>
            </w:r>
            <w:r>
              <w:rPr>
                <w:rFonts w:hint="eastAsia" w:ascii="仿宋" w:hAnsi="仿宋" w:eastAsia="仿宋" w:cs="仿宋_GB2312"/>
                <w:kern w:val="0"/>
                <w:sz w:val="24"/>
              </w:rPr>
              <w:t>党内法规</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全体干部职工</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讲座、宣讲、专题会议、主题党日、知识竞赛等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长期实施</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党建办公室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 薇</w:t>
            </w:r>
          </w:p>
        </w:tc>
        <w:tc>
          <w:tcPr>
            <w:tcW w:w="1611" w:type="dxa"/>
            <w:vMerge w:val="restart"/>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将普法工作纳入街道工作全局，加强经费保障，与业务工作同部署，一把手总负责，分管领导齐抓共管。</w:t>
            </w: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掌握习总书记系列讲话精神和党内有关法规知识，领导带头学法、全年共同学习不少于</w:t>
            </w:r>
            <w:r>
              <w:rPr>
                <w:rFonts w:hint="eastAsia" w:ascii="仿宋" w:hAnsi="仿宋" w:eastAsia="仿宋" w:cs="仿宋_GB2312"/>
                <w:kern w:val="0"/>
                <w:sz w:val="24"/>
                <w:lang w:val="en-US" w:eastAsia="zh-CN"/>
              </w:rPr>
              <w:t>4</w:t>
            </w:r>
            <w:r>
              <w:rPr>
                <w:rFonts w:hint="eastAsia" w:ascii="仿宋" w:hAnsi="仿宋" w:eastAsia="仿宋" w:cs="仿宋_GB2312"/>
                <w:kern w:val="0"/>
                <w:sz w:val="24"/>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公务员法</w:t>
            </w:r>
            <w:r>
              <w:rPr>
                <w:rFonts w:hint="eastAsia" w:ascii="仿宋" w:hAnsi="仿宋" w:eastAsia="仿宋" w:cs="仿宋_GB2312"/>
                <w:kern w:val="0"/>
                <w:sz w:val="24"/>
                <w:lang w:eastAsia="zh-CN"/>
              </w:rPr>
              <w:t>》</w:t>
            </w:r>
            <w:r>
              <w:rPr>
                <w:rFonts w:hint="eastAsia" w:ascii="仿宋" w:hAnsi="仿宋" w:eastAsia="仿宋" w:cs="仿宋_GB2312"/>
                <w:kern w:val="0"/>
                <w:sz w:val="24"/>
              </w:rPr>
              <w:t>《保密法》《国家安全法》《反间谍法》</w:t>
            </w:r>
            <w:r>
              <w:rPr>
                <w:rFonts w:hint="eastAsia" w:ascii="仿宋" w:hAnsi="仿宋" w:eastAsia="仿宋" w:cs="仿宋_GB2312"/>
                <w:kern w:val="0"/>
                <w:sz w:val="24"/>
                <w:lang w:eastAsia="zh-CN"/>
              </w:rPr>
              <w:t>《行政复议法》《政府信息公开条例》《公职人员政务处分法》</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全体干部职工</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学习会、讲座、集中学习等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综合办公室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周 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增强工作人员依法行政意识，提升依法行政工作能力；提高系统内涉密人员保密及责任意识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rPr>
              <w:t>《宪法》《</w:t>
            </w:r>
            <w:r>
              <w:rPr>
                <w:rFonts w:hint="eastAsia" w:ascii="仿宋" w:hAnsi="仿宋" w:eastAsia="仿宋" w:cs="仿宋_GB2312"/>
                <w:kern w:val="0"/>
                <w:sz w:val="24"/>
                <w:lang w:eastAsia="zh-CN"/>
              </w:rPr>
              <w:t>民法典》相关法律法规</w:t>
            </w:r>
            <w:r>
              <w:rPr>
                <w:rFonts w:hint="eastAsia" w:ascii="仿宋" w:hAnsi="仿宋" w:eastAsia="仿宋" w:cs="仿宋_GB2312"/>
                <w:kern w:val="0"/>
                <w:sz w:val="24"/>
              </w:rPr>
              <w:t>等相关内容</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全体干部职工</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讲座、宣讲、宣讲、专题会议、培训课、等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普及有关法律知识，提高本系统工作人员法治意识，提高普法能力，提升业务工作水平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rPr>
              <w:t>《审计法》《会计法》《财政违法行为处罚处分条例》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财务室工作人员</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培训、讲座等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财务室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郭译之</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提高财务人员的政治意识、法律意识、责任意识，加强财务管理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rPr>
              <w:t>《人民调解法》《基层法律服务所管理办法》</w:t>
            </w:r>
            <w:r>
              <w:rPr>
                <w:rFonts w:hint="eastAsia" w:ascii="仿宋" w:hAnsi="仿宋" w:eastAsia="仿宋" w:cs="仿宋_GB2312"/>
                <w:kern w:val="0"/>
                <w:sz w:val="24"/>
                <w:lang w:eastAsia="zh-CN"/>
              </w:rPr>
              <w:t>《宁夏回族自治区法律援助条例》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全体调解员</w:t>
            </w:r>
            <w:r>
              <w:rPr>
                <w:rFonts w:hint="eastAsia" w:ascii="仿宋" w:hAnsi="仿宋" w:eastAsia="仿宋" w:cs="仿宋_GB2312"/>
                <w:kern w:val="0"/>
                <w:sz w:val="24"/>
                <w:lang w:eastAsia="zh-CN"/>
              </w:rPr>
              <w:t>、司法专干</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培训、讲座等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rPr>
            </w:pPr>
            <w:r>
              <w:rPr>
                <w:rFonts w:hint="eastAsia" w:ascii="仿宋" w:hAnsi="仿宋" w:eastAsia="仿宋" w:cs="仿宋_GB2312"/>
                <w:kern w:val="0"/>
                <w:sz w:val="24"/>
              </w:rPr>
              <w:t>规范本系统工作人员处理矛盾纠纷时的行为态度，以法治化及专业化的原则处理当事人矛盾纠纷，实现更好地为群众服务。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eastAsia="zh-CN"/>
              </w:rPr>
            </w:pP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中华人民共和国行政处罚法</w:t>
            </w:r>
            <w:r>
              <w:rPr>
                <w:rFonts w:hint="eastAsia" w:ascii="仿宋" w:hAnsi="仿宋" w:eastAsia="仿宋" w:cs="仿宋_GB2312"/>
                <w:kern w:val="0"/>
                <w:sz w:val="24"/>
                <w:lang w:eastAsia="zh-CN"/>
              </w:rPr>
              <w:t>》</w:t>
            </w:r>
          </w:p>
        </w:tc>
        <w:tc>
          <w:tcPr>
            <w:tcW w:w="1371"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全体干部职工</w:t>
            </w:r>
          </w:p>
        </w:tc>
        <w:tc>
          <w:tcPr>
            <w:tcW w:w="219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培训、讲座等</w:t>
            </w:r>
          </w:p>
        </w:tc>
        <w:tc>
          <w:tcPr>
            <w:tcW w:w="1072"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综合执法办公室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提高依法行政能力及业务工作水平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eastAsia="zh-CN"/>
              </w:rPr>
            </w:pPr>
            <w:r>
              <w:rPr>
                <w:rFonts w:hint="eastAsia" w:ascii="仿宋" w:hAnsi="仿宋" w:eastAsia="仿宋" w:cs="仿宋_GB2312"/>
                <w:kern w:val="0"/>
                <w:sz w:val="24"/>
                <w:lang w:eastAsia="zh-CN"/>
              </w:rPr>
              <w:t>国家工作人员无纸化学法和考试</w:t>
            </w:r>
          </w:p>
        </w:tc>
        <w:tc>
          <w:tcPr>
            <w:tcW w:w="1371" w:type="dxa"/>
            <w:vAlign w:val="center"/>
          </w:tcPr>
          <w:p>
            <w:pPr>
              <w:jc w:val="center"/>
              <w:rPr>
                <w:rFonts w:hint="eastAsia" w:ascii="仿宋" w:hAnsi="仿宋" w:eastAsia="仿宋" w:cs="仿宋_GB2312"/>
                <w:kern w:val="0"/>
                <w:sz w:val="24"/>
                <w:lang w:eastAsia="zh-CN"/>
              </w:rPr>
            </w:pPr>
            <w:r>
              <w:rPr>
                <w:rFonts w:hint="eastAsia" w:ascii="仿宋" w:hAnsi="仿宋" w:eastAsia="仿宋" w:cs="仿宋_GB2312"/>
                <w:kern w:val="0"/>
                <w:sz w:val="24"/>
                <w:lang w:eastAsia="zh-CN"/>
              </w:rPr>
              <w:t>街道所有国家工作人员</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网络学习、专题培训</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全年</w:t>
            </w:r>
          </w:p>
        </w:tc>
        <w:tc>
          <w:tcPr>
            <w:tcW w:w="1588" w:type="dxa"/>
            <w:vAlign w:val="center"/>
          </w:tcPr>
          <w:p>
            <w:pPr>
              <w:jc w:val="center"/>
              <w:rPr>
                <w:rFonts w:hint="eastAsia" w:ascii="仿宋" w:hAnsi="仿宋" w:eastAsia="仿宋" w:cs="仿宋_GB2312"/>
                <w:kern w:val="0"/>
                <w:sz w:val="24"/>
                <w:lang w:eastAsia="zh-CN"/>
              </w:rPr>
            </w:pPr>
            <w:r>
              <w:rPr>
                <w:rFonts w:hint="eastAsia" w:ascii="仿宋" w:hAnsi="仿宋" w:eastAsia="仿宋" w:cs="仿宋_GB2312"/>
                <w:kern w:val="0"/>
                <w:sz w:val="24"/>
                <w:lang w:eastAsia="zh-CN"/>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rPr>
            </w:pPr>
            <w:r>
              <w:rPr>
                <w:rFonts w:hint="eastAsia" w:ascii="仿宋" w:hAnsi="仿宋" w:eastAsia="仿宋" w:cs="仿宋_GB2312"/>
                <w:kern w:val="0"/>
                <w:sz w:val="24"/>
                <w:lang w:eastAsia="zh-CN"/>
              </w:rPr>
              <w:t>无纸化考试参考率、合格率100%，通过线上学习提高公务人员法治思维和运用法治方式解决问题的能力。确保宪法实施和监督、维护宪法权威。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社会</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普法</w:t>
            </w:r>
          </w:p>
        </w:tc>
        <w:tc>
          <w:tcPr>
            <w:tcW w:w="1839" w:type="dxa"/>
            <w:vAlign w:val="center"/>
          </w:tcPr>
          <w:p>
            <w:pPr>
              <w:rPr>
                <w:rFonts w:hint="default" w:ascii="仿宋" w:hAnsi="仿宋" w:eastAsia="仿宋" w:cs="仿宋_GB2312"/>
                <w:kern w:val="0"/>
                <w:sz w:val="24"/>
                <w:lang w:val="en-US" w:eastAsia="zh-CN"/>
              </w:rPr>
            </w:pPr>
            <w:r>
              <w:rPr>
                <w:rFonts w:hint="eastAsia" w:ascii="仿宋" w:hAnsi="仿宋" w:eastAsia="仿宋" w:cs="仿宋_GB2312"/>
                <w:kern w:val="0"/>
                <w:sz w:val="24"/>
                <w:lang w:eastAsia="zh-CN"/>
              </w:rPr>
              <w:t>习近平新时代中国特色社会主义思想，习近平法治思想、习近平总书记关于中国特色社会主义法治建设的重要论述。《</w:t>
            </w:r>
            <w:r>
              <w:rPr>
                <w:rFonts w:hint="eastAsia" w:ascii="仿宋" w:hAnsi="仿宋" w:eastAsia="仿宋" w:cs="仿宋_GB2312"/>
                <w:kern w:val="0"/>
                <w:sz w:val="24"/>
                <w:lang w:val="en-US" w:eastAsia="zh-CN"/>
              </w:rPr>
              <w:t>中华人民共和国反家庭暴力法</w:t>
            </w: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未成年人保护法</w:t>
            </w: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国防法</w:t>
            </w: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兵役法</w:t>
            </w: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等相关法律法规</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讲座、宣讲、法治课、设点宣传、知识竞赛等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党建办公室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周 静</w:t>
            </w:r>
          </w:p>
        </w:tc>
        <w:tc>
          <w:tcPr>
            <w:tcW w:w="1611" w:type="dxa"/>
            <w:vMerge w:val="restart"/>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将普法工作纳入本部门工作全局，与业务工作同部署。年初制定普法工作计划，年末进行总结。加强经费保障，健全以案释法制度，明确以案释法主体及任务</w:t>
            </w: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提高</w:t>
            </w:r>
            <w:r>
              <w:rPr>
                <w:rFonts w:hint="eastAsia" w:ascii="仿宋" w:hAnsi="仿宋" w:eastAsia="仿宋" w:cs="仿宋_GB2312"/>
                <w:kern w:val="0"/>
                <w:sz w:val="24"/>
                <w:lang w:eastAsia="zh-CN"/>
              </w:rPr>
              <w:t>群众</w:t>
            </w:r>
            <w:r>
              <w:rPr>
                <w:rFonts w:hint="eastAsia" w:ascii="仿宋" w:hAnsi="仿宋" w:eastAsia="仿宋" w:cs="仿宋_GB2312"/>
                <w:kern w:val="0"/>
                <w:sz w:val="24"/>
              </w:rPr>
              <w:t>学习</w:t>
            </w:r>
            <w:r>
              <w:rPr>
                <w:rFonts w:hint="eastAsia" w:ascii="仿宋" w:hAnsi="仿宋" w:eastAsia="仿宋" w:cs="仿宋_GB2312"/>
                <w:kern w:val="0"/>
                <w:sz w:val="24"/>
                <w:lang w:eastAsia="zh-CN"/>
              </w:rPr>
              <w:t>习</w:t>
            </w:r>
            <w:bookmarkStart w:id="0" w:name="_GoBack"/>
            <w:bookmarkEnd w:id="0"/>
            <w:r>
              <w:rPr>
                <w:rFonts w:hint="eastAsia" w:ascii="仿宋" w:hAnsi="仿宋" w:eastAsia="仿宋" w:cs="仿宋_GB2312"/>
                <w:kern w:val="0"/>
                <w:sz w:val="24"/>
              </w:rPr>
              <w:t>近平系列讲话意识及法治思</w:t>
            </w:r>
            <w:r>
              <w:rPr>
                <w:rFonts w:hint="eastAsia" w:ascii="仿宋" w:hAnsi="仿宋" w:eastAsia="仿宋" w:cs="仿宋_GB2312"/>
                <w:kern w:val="0"/>
                <w:sz w:val="24"/>
                <w:lang w:eastAsia="zh-CN"/>
              </w:rPr>
              <w:t>想</w:t>
            </w:r>
            <w:r>
              <w:rPr>
                <w:rFonts w:hint="eastAsia" w:ascii="仿宋" w:hAnsi="仿宋" w:eastAsia="仿宋" w:cs="仿宋_GB2312"/>
                <w:kern w:val="0"/>
                <w:sz w:val="24"/>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习近平法治思想，</w:t>
            </w:r>
            <w:r>
              <w:rPr>
                <w:rFonts w:hint="eastAsia" w:ascii="仿宋" w:hAnsi="仿宋" w:eastAsia="仿宋" w:cs="仿宋_GB2312"/>
                <w:kern w:val="0"/>
                <w:sz w:val="24"/>
              </w:rPr>
              <w:t>《宪法》《</w:t>
            </w:r>
            <w:r>
              <w:rPr>
                <w:rFonts w:hint="eastAsia" w:ascii="仿宋" w:hAnsi="仿宋" w:eastAsia="仿宋" w:cs="仿宋_GB2312"/>
                <w:kern w:val="0"/>
                <w:sz w:val="24"/>
                <w:lang w:eastAsia="zh-CN"/>
              </w:rPr>
              <w:t>民法典</w:t>
            </w:r>
            <w:r>
              <w:rPr>
                <w:rFonts w:hint="eastAsia" w:ascii="仿宋" w:hAnsi="仿宋" w:eastAsia="仿宋" w:cs="仿宋_GB2312"/>
                <w:kern w:val="0"/>
                <w:sz w:val="24"/>
              </w:rPr>
              <w:t>》</w:t>
            </w:r>
            <w:r>
              <w:rPr>
                <w:rFonts w:hint="eastAsia" w:ascii="仿宋" w:hAnsi="仿宋" w:eastAsia="仿宋" w:cs="仿宋_GB2312"/>
                <w:kern w:val="0"/>
                <w:sz w:val="24"/>
                <w:lang w:eastAsia="zh-CN"/>
              </w:rPr>
              <w:t>《刑法》《刑事诉讼法》</w:t>
            </w:r>
            <w:r>
              <w:rPr>
                <w:rFonts w:hint="eastAsia" w:ascii="仿宋" w:hAnsi="仿宋" w:eastAsia="仿宋" w:cs="仿宋_GB2312"/>
                <w:kern w:val="0"/>
                <w:sz w:val="24"/>
                <w:lang w:val="en-US" w:eastAsia="zh-CN"/>
              </w:rPr>
              <w:t>等</w:t>
            </w:r>
            <w:r>
              <w:rPr>
                <w:rFonts w:hint="eastAsia" w:ascii="仿宋" w:hAnsi="仿宋" w:eastAsia="仿宋" w:cs="仿宋_GB2312"/>
                <w:kern w:val="0"/>
                <w:sz w:val="24"/>
                <w:lang w:eastAsia="zh-CN"/>
              </w:rPr>
              <w:t>相关法律法规</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讲座、宣讲、设点宣传、制作横幅、海报、法律八进等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提高全兴庆区人民学法尊法守法意识，提高维护宪法权威意识，增强群众通过法律行为保护个人权益的意识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 xml:space="preserve">《中华人民共和国残疾人保障法》《社会救助法》《城市居民最低保障条例》《城市居民委员会组织法》《殡葬管理条例》《传染病防治法》 及疫情防控相关法律法规                            </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横幅、海报、宣传折页、制作宣传展板，举办法治讲座活动等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长期实施</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民生服务中心</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郭译之</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提高全兴庆区人民对民政相关法律的了解和知晓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《人民调解法》《法律援助条例》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调解当事人</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面对面普法教育、法律进家庭等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长期实施</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提高市民群众运用法治思维和法治方式解决矛盾纠纷的能力水平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《预防未成年人犯罪法》《未成年人保护法》《禁毒法》</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社会大众、青少年</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讲座、法治课、发放法律学习读本、观看教育片</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长期实施</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综治中心</w:t>
            </w:r>
          </w:p>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绿茵工作室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张红梅</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通过广泛地普法，提高群众、青少年法治意识和安全意识，远离毒品、传销等违法犯罪活动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《社会保障法》《劳动就业法》《工伤保险条例》《就业促进法》《社会保险法》《自治区创业与就业促进条例》《劳动争议调解仲裁法》</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民生服务中心</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郭译之</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通过广泛地普法，提高群众、对社会保障，劳动就业方面法律的了解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《环境保护法》《银川市城市市容和环境卫生管理条例》《城市道路管理条例》《物业管理条例》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公用事业服务中心</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通过广泛地普法，提高群众、对环境保护、城市管理等方面法律的了解，引导群众通过合法途径依法维权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《行政法》《行政处罚法》《城市道路管理条例》《自治区个体工商户条例》《食品安全法》《安全生产法》《安全生产许可条例》《银川市城市市容和环境卫生管理条例》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综合执法办公室</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提高市民对于城市管理、食品安全、安全生产等相关法律法规的了解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《行政法》《行政处罚法》《城市道路管理条例》《自治区个体工商户条例》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综合执法办公室</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提高市民对于城市管理相关法律法规的了解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《治安管理处罚法》《国家安全法》《反间谍法》《信访条例》《国家赔偿法》</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综治中心</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张红梅</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通过广泛地普法，提高群众、对国家安全、治安管理方面法律的了解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《民法典》《中华人民共和国人口与计划生育法》《自治区人口与计划生育条例》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社会事务管理办公室</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郭译之</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通过广泛地普法，提高群众、对计生法的了解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《中华人民共和国退役军人保障法》</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退役军人及社会大众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民生服务中心（退役军人服务站）</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马红梅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通过广泛地普法，提高群众、退役军人群体对服兵役、退役军人等法律法规的了解</w:t>
            </w:r>
          </w:p>
        </w:tc>
      </w:tr>
    </w:tbl>
    <w:p>
      <w:pPr>
        <w:rPr>
          <w:rFonts w:hint="eastAsia" w:ascii="仿宋" w:hAnsi="仿宋" w:eastAsia="仿宋" w:cs="仿宋_GB2312"/>
          <w:kern w:val="0"/>
          <w:sz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72CA2"/>
    <w:rsid w:val="06527161"/>
    <w:rsid w:val="109F7C7A"/>
    <w:rsid w:val="193E3C21"/>
    <w:rsid w:val="1DD72CA2"/>
    <w:rsid w:val="36540D8A"/>
    <w:rsid w:val="441368F4"/>
    <w:rsid w:val="4AB02385"/>
    <w:rsid w:val="4E810A89"/>
    <w:rsid w:val="52917EA7"/>
    <w:rsid w:val="545E3331"/>
    <w:rsid w:val="6B4C3554"/>
    <w:rsid w:val="773539C3"/>
    <w:rsid w:val="AF7E3C0B"/>
    <w:rsid w:val="B6F7EEC2"/>
    <w:rsid w:val="DBFE78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eastAsia="宋体" w:cs="Times New Roman"/>
      <w:sz w:val="21"/>
    </w:rPr>
  </w:style>
  <w:style w:type="paragraph" w:styleId="3">
    <w:name w:val="Body Text Indent"/>
    <w:basedOn w:val="1"/>
    <w:qFormat/>
    <w:uiPriority w:val="0"/>
    <w:pPr>
      <w:ind w:left="42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0"/>
    <w:pPr>
      <w:spacing w:after="120"/>
      <w:ind w:left="200" w:leftChars="200" w:firstLine="420" w:firstLineChars="200"/>
    </w:pPr>
    <w:rPr>
      <w:rFonts w:ascii="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2021-04-21T09:45:00Z</dcterms:created>
  <dc:creator>周颖</dc:creator>
  <cp:lastModifiedBy>kylin</cp:lastModifiedBy>
  <cp:lastPrinted>2021-07-30T09:19:00Z</cp:lastPrinted>
  <dcterms:modified xsi:type="dcterms:W3CDTF">2024-12-05T14:32:52Z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26516EDE77274D5A95E03FFE1D8CA128</vt:lpwstr>
  </property>
</Properties>
</file>