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sz w:val="52"/>
          <w:szCs w:val="52"/>
          <w:highlight w:val="none"/>
          <w:lang w:eastAsia="zh-CN"/>
        </w:rPr>
      </w:pPr>
      <w:r>
        <w:rPr>
          <w:rFonts w:hint="eastAsia" w:ascii="仿宋_GB2312" w:hAnsi="仿宋_GB2312" w:eastAsia="仿宋_GB2312" w:cs="仿宋_GB2312"/>
          <w:color w:val="000000"/>
          <w:sz w:val="32"/>
          <w:szCs w:val="32"/>
          <w:highlight w:val="none"/>
          <w:lang w:val="en-US" w:eastAsia="zh-CN"/>
        </w:rPr>
        <w:t>附件1</w:t>
      </w:r>
    </w:p>
    <w:p>
      <w:pPr>
        <w:jc w:val="center"/>
        <w:rPr>
          <w:rFonts w:hint="eastAsia" w:ascii="方正小标宋简体" w:eastAsia="方正小标宋简体"/>
          <w:color w:val="000000"/>
          <w:sz w:val="48"/>
          <w:szCs w:val="48"/>
          <w:highlight w:val="none"/>
          <w:lang w:eastAsia="zh-CN"/>
        </w:rPr>
      </w:pPr>
      <w:r>
        <w:rPr>
          <w:rFonts w:hint="eastAsia" w:ascii="方正小标宋简体" w:eastAsia="方正小标宋简体"/>
          <w:color w:val="000000"/>
          <w:sz w:val="48"/>
          <w:szCs w:val="48"/>
          <w:highlight w:val="none"/>
          <w:lang w:eastAsia="zh-CN"/>
        </w:rPr>
        <w:t>兴庆区</w:t>
      </w:r>
      <w:r>
        <w:rPr>
          <w:rFonts w:hint="eastAsia" w:ascii="方正小标宋简体" w:eastAsia="方正小标宋简体"/>
          <w:color w:val="000000"/>
          <w:sz w:val="48"/>
          <w:szCs w:val="48"/>
          <w:highlight w:val="none"/>
          <w:lang w:val="en-US" w:eastAsia="zh-CN"/>
        </w:rPr>
        <w:t>前进街</w:t>
      </w:r>
      <w:r>
        <w:rPr>
          <w:rFonts w:hint="eastAsia" w:ascii="方正小标宋简体" w:eastAsia="方正小标宋简体"/>
          <w:color w:val="000000"/>
          <w:sz w:val="48"/>
          <w:szCs w:val="48"/>
          <w:highlight w:val="none"/>
          <w:lang w:eastAsia="zh-CN"/>
        </w:rPr>
        <w:t>街道办事处权力清单</w:t>
      </w:r>
    </w:p>
    <w:p>
      <w:pPr>
        <w:widowControl/>
        <w:spacing w:before="312" w:beforeLines="100" w:after="312" w:afterLines="100"/>
        <w:jc w:val="center"/>
        <w:rPr>
          <w:rFonts w:ascii="黑体" w:hAnsi="黑体" w:eastAsia="黑体"/>
          <w:bCs/>
          <w:color w:val="000000"/>
          <w:sz w:val="32"/>
          <w:szCs w:val="32"/>
          <w:highlight w:val="none"/>
        </w:rPr>
      </w:pPr>
      <w:r>
        <w:rPr>
          <w:rFonts w:hint="eastAsia" w:ascii="黑体" w:hAnsi="黑体" w:eastAsia="黑体"/>
          <w:bCs/>
          <w:color w:val="000000"/>
          <w:sz w:val="32"/>
          <w:szCs w:val="32"/>
          <w:highlight w:val="none"/>
          <w:lang w:eastAsia="zh-CN"/>
        </w:rPr>
        <w:t>一</w:t>
      </w:r>
      <w:r>
        <w:rPr>
          <w:rFonts w:ascii="黑体" w:hAnsi="黑体" w:eastAsia="黑体"/>
          <w:bCs/>
          <w:color w:val="000000"/>
          <w:sz w:val="32"/>
          <w:szCs w:val="32"/>
          <w:highlight w:val="none"/>
        </w:rPr>
        <w:t>、行政</w:t>
      </w:r>
      <w:r>
        <w:rPr>
          <w:rFonts w:hint="eastAsia" w:ascii="黑体" w:hAnsi="黑体" w:eastAsia="黑体"/>
          <w:bCs/>
          <w:color w:val="000000"/>
          <w:sz w:val="32"/>
          <w:szCs w:val="32"/>
          <w:highlight w:val="none"/>
        </w:rPr>
        <w:t>给付（</w:t>
      </w:r>
      <w:r>
        <w:rPr>
          <w:rFonts w:hint="eastAsia" w:ascii="黑体" w:hAnsi="黑体" w:eastAsia="黑体"/>
          <w:bCs/>
          <w:color w:val="000000"/>
          <w:sz w:val="32"/>
          <w:szCs w:val="32"/>
          <w:highlight w:val="none"/>
          <w:lang w:val="en-US" w:eastAsia="zh-CN"/>
        </w:rPr>
        <w:t>1</w:t>
      </w:r>
      <w:r>
        <w:rPr>
          <w:rFonts w:hint="eastAsia" w:ascii="黑体" w:hAnsi="黑体" w:eastAsia="黑体"/>
          <w:bCs/>
          <w:color w:val="000000"/>
          <w:sz w:val="32"/>
          <w:szCs w:val="32"/>
          <w:highlight w:val="none"/>
        </w:rPr>
        <w:t>项）</w:t>
      </w:r>
    </w:p>
    <w:tbl>
      <w:tblPr>
        <w:tblStyle w:val="4"/>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059"/>
        <w:gridCol w:w="764"/>
        <w:gridCol w:w="1091"/>
        <w:gridCol w:w="968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7"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序号</w:t>
            </w:r>
          </w:p>
        </w:tc>
        <w:tc>
          <w:tcPr>
            <w:tcW w:w="1059"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职权名称</w:t>
            </w:r>
          </w:p>
        </w:tc>
        <w:tc>
          <w:tcPr>
            <w:tcW w:w="764"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基本编码</w:t>
            </w:r>
          </w:p>
        </w:tc>
        <w:tc>
          <w:tcPr>
            <w:tcW w:w="1091"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实施</w:t>
            </w:r>
          </w:p>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单位</w:t>
            </w:r>
          </w:p>
        </w:tc>
        <w:tc>
          <w:tcPr>
            <w:tcW w:w="9680" w:type="dxa"/>
            <w:vAlign w:val="center"/>
          </w:tcPr>
          <w:p>
            <w:pPr>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职权依据</w:t>
            </w:r>
          </w:p>
        </w:tc>
        <w:tc>
          <w:tcPr>
            <w:tcW w:w="1142"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0" w:hRule="atLeast"/>
          <w:jc w:val="center"/>
        </w:trPr>
        <w:tc>
          <w:tcPr>
            <w:tcW w:w="437" w:type="dxa"/>
            <w:vAlign w:val="center"/>
          </w:tcPr>
          <w:p>
            <w:pPr>
              <w:pStyle w:val="6"/>
              <w:numPr>
                <w:ilvl w:val="0"/>
                <w:numId w:val="1"/>
              </w:numPr>
              <w:spacing w:line="300" w:lineRule="exact"/>
              <w:ind w:left="0" w:firstLine="100" w:firstLineChars="50"/>
              <w:jc w:val="center"/>
              <w:rPr>
                <w:rFonts w:hint="eastAsia" w:ascii="宋体" w:hAnsi="宋体" w:cs="宋体"/>
                <w:color w:val="000000"/>
                <w:sz w:val="20"/>
                <w:szCs w:val="20"/>
                <w:highlight w:val="none"/>
              </w:rPr>
            </w:pPr>
          </w:p>
        </w:tc>
        <w:tc>
          <w:tcPr>
            <w:tcW w:w="1059" w:type="dxa"/>
            <w:vAlign w:val="center"/>
          </w:tcPr>
          <w:p>
            <w:pPr>
              <w:spacing w:line="300" w:lineRule="exact"/>
              <w:rPr>
                <w:rFonts w:hint="eastAsia" w:ascii="宋体" w:hAnsi="宋体" w:cs="宋体"/>
                <w:color w:val="000000"/>
                <w:sz w:val="20"/>
                <w:szCs w:val="20"/>
                <w:highlight w:val="none"/>
              </w:rPr>
            </w:pPr>
            <w:r>
              <w:rPr>
                <w:rFonts w:hint="eastAsia" w:ascii="宋体" w:hAnsi="宋体" w:cs="宋体"/>
                <w:color w:val="000000"/>
                <w:spacing w:val="-6"/>
                <w:sz w:val="20"/>
                <w:szCs w:val="20"/>
                <w:highlight w:val="none"/>
              </w:rPr>
              <w:t>孤儿养育津贴发放</w:t>
            </w:r>
          </w:p>
        </w:tc>
        <w:tc>
          <w:tcPr>
            <w:tcW w:w="764"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0508008000</w:t>
            </w:r>
          </w:p>
        </w:tc>
        <w:tc>
          <w:tcPr>
            <w:tcW w:w="1091" w:type="dxa"/>
            <w:vAlign w:val="center"/>
          </w:tcPr>
          <w:p>
            <w:pPr>
              <w:spacing w:line="300" w:lineRule="exact"/>
              <w:jc w:val="center"/>
              <w:rPr>
                <w:rFonts w:hint="default" w:ascii="宋体" w:hAnsi="宋体" w:cs="宋体"/>
                <w:color w:val="000000"/>
                <w:sz w:val="20"/>
                <w:szCs w:val="20"/>
                <w:highlight w:val="none"/>
                <w:lang w:val="en-US"/>
              </w:rPr>
            </w:pPr>
            <w:r>
              <w:rPr>
                <w:rFonts w:hint="eastAsia" w:ascii="宋体" w:hAnsi="宋体" w:cs="宋体"/>
                <w:color w:val="000000"/>
                <w:sz w:val="20"/>
                <w:szCs w:val="20"/>
                <w:highlight w:val="none"/>
                <w:lang w:val="en-US" w:eastAsia="zh-CN"/>
              </w:rPr>
              <w:t>兴庆区前进街街道办事处</w:t>
            </w:r>
          </w:p>
        </w:tc>
        <w:tc>
          <w:tcPr>
            <w:tcW w:w="9680" w:type="dxa"/>
            <w:vAlign w:val="center"/>
          </w:tcPr>
          <w:p>
            <w:pPr>
              <w:pStyle w:val="3"/>
              <w:widowControl/>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【规范性文件】《国务院办公厅关于加强孤儿保障工作的意见》（国办发</w:t>
            </w: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rPr>
              <w:t>2010</w:t>
            </w:r>
            <w:r>
              <w:rPr>
                <w:rFonts w:hint="eastAsia" w:ascii="宋体" w:hAnsi="宋体" w:cs="宋体"/>
                <w:color w:val="000000"/>
                <w:sz w:val="20"/>
                <w:szCs w:val="20"/>
                <w:highlight w:val="none"/>
                <w:lang w:eastAsia="zh-CN"/>
              </w:rPr>
              <w:t>〕</w:t>
            </w:r>
            <w:r>
              <w:rPr>
                <w:rFonts w:hint="eastAsia" w:ascii="宋体" w:hAnsi="宋体" w:cs="宋体"/>
                <w:color w:val="000000"/>
                <w:sz w:val="20"/>
                <w:szCs w:val="20"/>
                <w:highlight w:val="none"/>
              </w:rPr>
              <w:t>54号）</w:t>
            </w:r>
          </w:p>
          <w:p>
            <w:pPr>
              <w:pStyle w:val="3"/>
              <w:widowControl/>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二、</w:t>
            </w:r>
            <w:r>
              <w:rPr>
                <w:rFonts w:hint="eastAsia" w:ascii="宋体" w:hAnsi="宋体" w:cs="宋体"/>
                <w:color w:val="000000"/>
                <w:sz w:val="20"/>
                <w:szCs w:val="20"/>
                <w:highlight w:val="none"/>
                <w:shd w:val="clear" w:color="auto" w:fill="FFFFFF"/>
              </w:rPr>
              <w:t>建立健全孤儿保障体系，维护孤儿基本权益。（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款专用、按时发放，确保孤儿基本生活费用于孤儿。</w:t>
            </w:r>
          </w:p>
          <w:p>
            <w:pPr>
              <w:ind w:firstLine="400" w:firstLineChars="200"/>
              <w:rPr>
                <w:rFonts w:hint="eastAsia" w:ascii="宋体" w:hAnsi="宋体" w:cs="宋体"/>
                <w:color w:val="000000"/>
                <w:sz w:val="20"/>
                <w:szCs w:val="20"/>
                <w:highlight w:val="none"/>
                <w:shd w:val="clear" w:color="auto" w:fill="FFFFFF"/>
              </w:rPr>
            </w:pPr>
            <w:r>
              <w:rPr>
                <w:rFonts w:hint="eastAsia" w:ascii="宋体" w:hAnsi="宋体" w:cs="宋体"/>
                <w:color w:val="000000"/>
                <w:sz w:val="20"/>
                <w:szCs w:val="20"/>
                <w:highlight w:val="none"/>
                <w:shd w:val="clear" w:color="auto" w:fill="FFFFFF"/>
              </w:rPr>
              <w:t>【规范性文件】《宁夏回族自治区人民政府关于建立全区孤儿养育津贴制度的通知》（宁政发</w:t>
            </w:r>
            <w:r>
              <w:rPr>
                <w:rFonts w:hint="eastAsia" w:ascii="宋体" w:hAnsi="宋体" w:cs="宋体"/>
                <w:color w:val="000000"/>
                <w:sz w:val="20"/>
                <w:szCs w:val="20"/>
                <w:highlight w:val="none"/>
                <w:shd w:val="clear" w:color="auto" w:fill="FFFFFF"/>
                <w:lang w:eastAsia="zh-CN"/>
              </w:rPr>
              <w:t>〔</w:t>
            </w:r>
            <w:r>
              <w:rPr>
                <w:rFonts w:hint="eastAsia" w:ascii="宋体" w:hAnsi="宋体" w:cs="宋体"/>
                <w:color w:val="000000"/>
                <w:sz w:val="20"/>
                <w:szCs w:val="20"/>
                <w:highlight w:val="none"/>
                <w:shd w:val="clear" w:color="auto" w:fill="FFFFFF"/>
              </w:rPr>
              <w:t>2011</w:t>
            </w:r>
            <w:r>
              <w:rPr>
                <w:rFonts w:hint="eastAsia" w:ascii="宋体" w:hAnsi="宋体" w:cs="宋体"/>
                <w:color w:val="000000"/>
                <w:sz w:val="20"/>
                <w:szCs w:val="20"/>
                <w:highlight w:val="none"/>
                <w:shd w:val="clear" w:color="auto" w:fill="FFFFFF"/>
                <w:lang w:eastAsia="zh-CN"/>
              </w:rPr>
              <w:t>〕</w:t>
            </w:r>
            <w:r>
              <w:rPr>
                <w:rFonts w:hint="eastAsia" w:ascii="宋体" w:hAnsi="宋体" w:cs="宋体"/>
                <w:color w:val="000000"/>
                <w:sz w:val="20"/>
                <w:szCs w:val="20"/>
                <w:highlight w:val="none"/>
                <w:shd w:val="clear" w:color="auto" w:fill="FFFFFF"/>
              </w:rPr>
              <w:t>143号）</w:t>
            </w:r>
          </w:p>
          <w:p>
            <w:pPr>
              <w:ind w:firstLine="400" w:firstLineChars="200"/>
              <w:rPr>
                <w:rFonts w:hint="eastAsia" w:ascii="宋体" w:hAnsi="宋体" w:cs="宋体"/>
                <w:color w:val="000000"/>
                <w:sz w:val="20"/>
                <w:szCs w:val="20"/>
                <w:highlight w:val="none"/>
                <w:shd w:val="clear" w:color="auto" w:fill="FFFFFF"/>
              </w:rPr>
            </w:pPr>
            <w:r>
              <w:rPr>
                <w:rFonts w:hint="eastAsia" w:ascii="宋体" w:hAnsi="宋体" w:cs="宋体"/>
                <w:color w:val="000000"/>
                <w:sz w:val="20"/>
                <w:szCs w:val="20"/>
                <w:highlight w:val="none"/>
                <w:shd w:val="clear" w:color="auto" w:fill="FFFFFF"/>
              </w:rPr>
              <w:t>二、孤儿养育津贴的发放范围、标准和审批程序</w:t>
            </w:r>
          </w:p>
          <w:p>
            <w:pPr>
              <w:ind w:firstLine="400" w:firstLineChars="200"/>
              <w:rPr>
                <w:rFonts w:hint="eastAsia" w:ascii="宋体" w:hAnsi="宋体" w:cs="宋体"/>
                <w:color w:val="000000"/>
                <w:kern w:val="0"/>
                <w:sz w:val="20"/>
                <w:szCs w:val="20"/>
                <w:highlight w:val="none"/>
              </w:rPr>
            </w:pPr>
            <w:r>
              <w:rPr>
                <w:rFonts w:hint="eastAsia" w:ascii="宋体" w:hAnsi="宋体" w:cs="宋体"/>
                <w:color w:val="000000"/>
                <w:sz w:val="20"/>
                <w:szCs w:val="20"/>
                <w:highlight w:val="none"/>
                <w:shd w:val="clear" w:color="auto" w:fill="FFFFFF"/>
              </w:rPr>
              <w:t>社会散居孤儿养育津贴实行属地化管理，严格按照孤儿监护人申请、居(村)委会调查核实、街道办事处(乡、镇)审核、县(市、区)民政局审批的程序，实行三级审批，自觉接受群众监督，做到公平、公正。</w:t>
            </w:r>
          </w:p>
        </w:tc>
        <w:tc>
          <w:tcPr>
            <w:tcW w:w="1142" w:type="dxa"/>
            <w:vAlign w:val="center"/>
          </w:tcPr>
          <w:p>
            <w:pPr>
              <w:spacing w:line="300" w:lineRule="exac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民生服务中心（退役军人服务站）</w:t>
            </w:r>
          </w:p>
        </w:tc>
      </w:tr>
    </w:tbl>
    <w:p>
      <w:pPr>
        <w:widowControl/>
        <w:spacing w:before="312" w:beforeLines="100" w:after="312" w:afterLines="100"/>
        <w:jc w:val="center"/>
        <w:rPr>
          <w:rFonts w:ascii="黑体" w:hAnsi="黑体" w:eastAsia="黑体"/>
          <w:bCs/>
          <w:color w:val="000000"/>
          <w:sz w:val="32"/>
          <w:szCs w:val="32"/>
          <w:highlight w:val="none"/>
        </w:rPr>
      </w:pPr>
      <w:r>
        <w:rPr>
          <w:rFonts w:hint="eastAsia" w:ascii="黑体" w:hAnsi="黑体" w:eastAsia="黑体"/>
          <w:bCs/>
          <w:color w:val="000000"/>
          <w:sz w:val="32"/>
          <w:szCs w:val="32"/>
          <w:lang w:eastAsia="zh-CN"/>
        </w:rPr>
        <w:t>二</w:t>
      </w:r>
      <w:r>
        <w:rPr>
          <w:rFonts w:ascii="黑体" w:hAnsi="黑体" w:eastAsia="黑体"/>
          <w:bCs/>
          <w:color w:val="000000"/>
          <w:sz w:val="32"/>
          <w:szCs w:val="32"/>
        </w:rPr>
        <w:t>、行政</w:t>
      </w:r>
      <w:r>
        <w:rPr>
          <w:rFonts w:hint="eastAsia" w:ascii="黑体" w:hAnsi="黑体" w:eastAsia="黑体"/>
          <w:bCs/>
          <w:color w:val="000000"/>
          <w:sz w:val="32"/>
          <w:szCs w:val="32"/>
        </w:rPr>
        <w:t>检查</w:t>
      </w:r>
      <w:r>
        <w:rPr>
          <w:rFonts w:hint="eastAsia" w:ascii="黑体" w:hAnsi="黑体" w:eastAsia="黑体"/>
          <w:bCs/>
          <w:color w:val="000000"/>
          <w:sz w:val="32"/>
          <w:szCs w:val="32"/>
          <w:highlight w:val="none"/>
        </w:rPr>
        <w:t>（</w:t>
      </w:r>
      <w:r>
        <w:rPr>
          <w:rFonts w:hint="eastAsia" w:ascii="黑体" w:hAnsi="黑体" w:eastAsia="黑体"/>
          <w:bCs/>
          <w:color w:val="000000"/>
          <w:sz w:val="32"/>
          <w:szCs w:val="32"/>
          <w:highlight w:val="none"/>
          <w:lang w:val="en-US" w:eastAsia="zh-CN"/>
        </w:rPr>
        <w:t>4</w:t>
      </w:r>
      <w:r>
        <w:rPr>
          <w:rFonts w:hint="eastAsia" w:ascii="黑体" w:hAnsi="黑体" w:eastAsia="黑体"/>
          <w:bCs/>
          <w:color w:val="000000"/>
          <w:sz w:val="32"/>
          <w:szCs w:val="32"/>
          <w:highlight w:val="none"/>
        </w:rPr>
        <w:t>项）</w:t>
      </w:r>
    </w:p>
    <w:tbl>
      <w:tblPr>
        <w:tblStyle w:val="4"/>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066"/>
        <w:gridCol w:w="764"/>
        <w:gridCol w:w="1105"/>
        <w:gridCol w:w="9641"/>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0"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066"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64"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1105"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单位</w:t>
            </w:r>
          </w:p>
        </w:tc>
        <w:tc>
          <w:tcPr>
            <w:tcW w:w="9641" w:type="dxa"/>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1167"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430" w:type="dxa"/>
            <w:vAlign w:val="center"/>
          </w:tcPr>
          <w:p>
            <w:pPr>
              <w:pStyle w:val="6"/>
              <w:numPr>
                <w:ilvl w:val="0"/>
                <w:numId w:val="2"/>
              </w:numPr>
              <w:spacing w:line="300" w:lineRule="exact"/>
              <w:ind w:left="0" w:firstLine="100" w:firstLineChars="50"/>
              <w:jc w:val="center"/>
              <w:rPr>
                <w:rFonts w:hint="eastAsia" w:ascii="宋体" w:hAnsi="宋体" w:cs="宋体"/>
                <w:color w:val="000000"/>
                <w:sz w:val="20"/>
                <w:szCs w:val="20"/>
              </w:rPr>
            </w:pPr>
          </w:p>
        </w:tc>
        <w:tc>
          <w:tcPr>
            <w:tcW w:w="1066"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对遵守爱国卫生规范情况的检查</w:t>
            </w:r>
          </w:p>
        </w:tc>
        <w:tc>
          <w:tcPr>
            <w:tcW w:w="764"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06XZ002000</w:t>
            </w:r>
          </w:p>
        </w:tc>
        <w:tc>
          <w:tcPr>
            <w:tcW w:w="1105"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兴庆区前进街街道办事处</w:t>
            </w:r>
          </w:p>
        </w:tc>
        <w:tc>
          <w:tcPr>
            <w:tcW w:w="9641" w:type="dxa"/>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【地方性法规】《宁夏回族自治区爱国卫生工作条例》（2003年）</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第三十四条第三款 乡（镇）人民政府、街道办事处，应当对所辖区域的村（居）民委员会以及居民遵守爱国卫生规范的情况进行检查。</w:t>
            </w:r>
          </w:p>
        </w:tc>
        <w:tc>
          <w:tcPr>
            <w:tcW w:w="1167"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430" w:type="dxa"/>
            <w:vAlign w:val="center"/>
          </w:tcPr>
          <w:p>
            <w:pPr>
              <w:pStyle w:val="6"/>
              <w:numPr>
                <w:ilvl w:val="0"/>
                <w:numId w:val="2"/>
              </w:numPr>
              <w:spacing w:line="300" w:lineRule="exact"/>
              <w:ind w:left="0" w:firstLine="100" w:firstLineChars="50"/>
              <w:jc w:val="center"/>
              <w:rPr>
                <w:rFonts w:hint="eastAsia" w:ascii="宋体" w:hAnsi="宋体" w:cs="宋体"/>
                <w:color w:val="000000"/>
                <w:sz w:val="20"/>
                <w:szCs w:val="20"/>
              </w:rPr>
            </w:pPr>
          </w:p>
        </w:tc>
        <w:tc>
          <w:tcPr>
            <w:tcW w:w="1066" w:type="dxa"/>
            <w:vAlign w:val="center"/>
          </w:tcPr>
          <w:p>
            <w:pPr>
              <w:spacing w:line="300" w:lineRule="exact"/>
              <w:rPr>
                <w:rFonts w:hint="eastAsia" w:ascii="宋体" w:hAnsi="宋体" w:cs="宋体"/>
                <w:bCs/>
                <w:color w:val="000000"/>
                <w:sz w:val="20"/>
                <w:szCs w:val="20"/>
              </w:rPr>
            </w:pPr>
            <w:r>
              <w:rPr>
                <w:rFonts w:hint="eastAsia" w:ascii="宋体" w:hAnsi="宋体" w:cs="宋体"/>
                <w:bCs/>
                <w:color w:val="000000"/>
                <w:sz w:val="20"/>
                <w:szCs w:val="20"/>
              </w:rPr>
              <w:t>对用人单位流动人口计划生育工作的监督检查</w:t>
            </w:r>
          </w:p>
        </w:tc>
        <w:tc>
          <w:tcPr>
            <w:tcW w:w="764"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06XZ004000</w:t>
            </w:r>
          </w:p>
        </w:tc>
        <w:tc>
          <w:tcPr>
            <w:tcW w:w="1105"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兴庆区前进街街道办事处</w:t>
            </w:r>
          </w:p>
        </w:tc>
        <w:tc>
          <w:tcPr>
            <w:tcW w:w="9641" w:type="dxa"/>
            <w:vAlign w:val="center"/>
          </w:tcPr>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【行政法规】《流动人口计划生育工作条例》（2009年国务院令第555号）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【地方性法规】《宁夏回族自治区人口与计划生育条例》（2019年修正）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第四十七条 卫生健康行政部门、乡（镇）人民政府和街道办事处实施监督检查，应当符合依法行政的基本要求，不得妨碍被检查单位正常的业务活动，不得侵害公民的合法权益。</w:t>
            </w:r>
          </w:p>
        </w:tc>
        <w:tc>
          <w:tcPr>
            <w:tcW w:w="1167" w:type="dxa"/>
            <w:vAlign w:val="center"/>
          </w:tcPr>
          <w:p>
            <w:pPr>
              <w:spacing w:line="300" w:lineRule="exact"/>
              <w:rPr>
                <w:rFonts w:hint="eastAsia" w:ascii="宋体" w:hAnsi="宋体" w:cs="宋体"/>
                <w:bCs/>
                <w:color w:val="000000"/>
                <w:sz w:val="20"/>
                <w:szCs w:val="20"/>
              </w:rPr>
            </w:pPr>
            <w:r>
              <w:rPr>
                <w:rFonts w:hint="eastAsia" w:ascii="宋体" w:hAnsi="宋体" w:cs="宋体"/>
                <w:color w:val="000000"/>
                <w:sz w:val="20"/>
                <w:szCs w:val="20"/>
                <w:highlight w:val="none"/>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0" w:type="dxa"/>
            <w:vAlign w:val="center"/>
          </w:tcPr>
          <w:p>
            <w:pPr>
              <w:pStyle w:val="6"/>
              <w:numPr>
                <w:ilvl w:val="0"/>
                <w:numId w:val="2"/>
              </w:numPr>
              <w:spacing w:line="300" w:lineRule="exact"/>
              <w:ind w:left="0" w:firstLine="100" w:firstLineChars="50"/>
              <w:jc w:val="center"/>
              <w:rPr>
                <w:rFonts w:hint="eastAsia" w:ascii="宋体" w:hAnsi="宋体" w:cs="宋体"/>
                <w:color w:val="000000"/>
                <w:sz w:val="20"/>
                <w:szCs w:val="20"/>
              </w:rPr>
            </w:pPr>
          </w:p>
        </w:tc>
        <w:tc>
          <w:tcPr>
            <w:tcW w:w="1066" w:type="dxa"/>
            <w:vAlign w:val="center"/>
          </w:tcPr>
          <w:p>
            <w:pPr>
              <w:spacing w:line="300" w:lineRule="exact"/>
              <w:rPr>
                <w:rFonts w:hint="eastAsia" w:ascii="宋体" w:hAnsi="宋体" w:cs="宋体"/>
                <w:color w:val="000000"/>
                <w:sz w:val="20"/>
                <w:szCs w:val="20"/>
              </w:rPr>
            </w:pPr>
            <w:r>
              <w:rPr>
                <w:rFonts w:hint="eastAsia" w:ascii="宋体" w:hAnsi="宋体" w:cs="宋体"/>
                <w:bCs/>
                <w:color w:val="000000"/>
                <w:sz w:val="20"/>
                <w:szCs w:val="20"/>
              </w:rPr>
              <w:t>对生产经营单位安全生产状况的监督检查</w:t>
            </w:r>
          </w:p>
        </w:tc>
        <w:tc>
          <w:tcPr>
            <w:tcW w:w="764"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06XZ005000</w:t>
            </w:r>
          </w:p>
        </w:tc>
        <w:tc>
          <w:tcPr>
            <w:tcW w:w="1105"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兴庆区前进街街道办事处</w:t>
            </w:r>
          </w:p>
        </w:tc>
        <w:tc>
          <w:tcPr>
            <w:tcW w:w="9641" w:type="dxa"/>
            <w:vAlign w:val="center"/>
          </w:tcPr>
          <w:p>
            <w:pPr>
              <w:ind w:firstLine="400" w:firstLineChars="200"/>
              <w:rPr>
                <w:rFonts w:hint="eastAsia" w:ascii="宋体" w:hAnsi="宋体" w:cs="宋体"/>
                <w:bCs/>
                <w:color w:val="000000"/>
                <w:sz w:val="20"/>
                <w:szCs w:val="20"/>
              </w:rPr>
            </w:pPr>
            <w:r>
              <w:rPr>
                <w:rFonts w:hint="eastAsia" w:ascii="宋体" w:hAnsi="宋体" w:cs="宋体"/>
                <w:color w:val="000000"/>
                <w:sz w:val="20"/>
                <w:szCs w:val="20"/>
              </w:rPr>
              <w:t>【法律】《</w:t>
            </w:r>
            <w:r>
              <w:rPr>
                <w:rFonts w:hint="eastAsia" w:ascii="宋体" w:hAnsi="宋体" w:cs="宋体"/>
                <w:bCs/>
                <w:color w:val="000000"/>
                <w:sz w:val="20"/>
                <w:szCs w:val="20"/>
              </w:rPr>
              <w:t>中华人民共和国安全生产法》（2014年修正）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【地方性法规】《宁夏回族自治区安全生产条例》（2015年修订）</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第四条第二款 乡镇人民政府以及街道办事处应当加强对本行政区域内生产经营单位安全生产状况的监督检查，协助上级人民政府有关部门依法履行安全生产监督管理职责。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【地方政府规章】《宁夏回族自治区安全生产行政责任规定》（2018年</w:t>
            </w:r>
            <w:r>
              <w:rPr>
                <w:rFonts w:hint="eastAsia" w:ascii="宋体" w:hAnsi="宋体" w:cs="宋体"/>
                <w:color w:val="000000"/>
                <w:sz w:val="20"/>
                <w:szCs w:val="20"/>
                <w:lang w:eastAsia="zh-CN"/>
              </w:rPr>
              <w:t>宁夏回族</w:t>
            </w:r>
            <w:r>
              <w:rPr>
                <w:rFonts w:hint="eastAsia" w:ascii="宋体" w:hAnsi="宋体" w:cs="宋体"/>
                <w:bCs/>
                <w:color w:val="000000"/>
                <w:sz w:val="20"/>
                <w:szCs w:val="20"/>
              </w:rPr>
              <w:t>自治区政府令第98号）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第七条 乡镇人民政府和街道办事处应当加强对本行政区域内生产经营单位安全生产状况的监督检查，协助上级人民政府有关主管部门依法履行安全生产监督管理职责。</w:t>
            </w:r>
          </w:p>
          <w:p>
            <w:pPr>
              <w:ind w:firstLine="400" w:firstLineChars="200"/>
              <w:rPr>
                <w:rFonts w:hint="eastAsia" w:ascii="宋体" w:hAnsi="宋体" w:cs="宋体"/>
                <w:bCs/>
                <w:color w:val="000000"/>
                <w:spacing w:val="-6"/>
                <w:sz w:val="20"/>
                <w:szCs w:val="20"/>
              </w:rPr>
            </w:pPr>
            <w:r>
              <w:rPr>
                <w:rFonts w:hint="eastAsia" w:ascii="宋体" w:hAnsi="宋体" w:cs="宋体"/>
                <w:bCs/>
                <w:color w:val="000000"/>
                <w:sz w:val="20"/>
                <w:szCs w:val="20"/>
              </w:rPr>
              <w:t>【地方政府规章】</w:t>
            </w:r>
            <w:r>
              <w:rPr>
                <w:rFonts w:hint="eastAsia" w:ascii="宋体" w:hAnsi="宋体" w:cs="宋体"/>
                <w:bCs/>
                <w:color w:val="000000"/>
                <w:spacing w:val="-6"/>
                <w:sz w:val="20"/>
                <w:szCs w:val="20"/>
              </w:rPr>
              <w:t>《宁夏回族自治区危险化学品安全管理办法》（2019年</w:t>
            </w:r>
            <w:r>
              <w:rPr>
                <w:rFonts w:hint="eastAsia" w:ascii="宋体" w:hAnsi="宋体" w:cs="宋体"/>
                <w:color w:val="000000"/>
                <w:spacing w:val="-6"/>
                <w:sz w:val="20"/>
                <w:szCs w:val="20"/>
                <w:lang w:eastAsia="zh-CN"/>
              </w:rPr>
              <w:t>宁夏回族</w:t>
            </w:r>
            <w:r>
              <w:rPr>
                <w:rFonts w:hint="eastAsia" w:ascii="宋体" w:hAnsi="宋体" w:cs="宋体"/>
                <w:bCs/>
                <w:color w:val="000000"/>
                <w:spacing w:val="-6"/>
                <w:sz w:val="20"/>
                <w:szCs w:val="20"/>
              </w:rPr>
              <w:t>自治区政府令第109号）</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第六条第一款 乡镇人民政府、街道办事处应当按照各自职责，加强对辖区内危险化学品单位安全状况的监督检查，协助有关主管部门依法履行危险化学品安全监督管理职责。</w:t>
            </w:r>
          </w:p>
          <w:p>
            <w:pPr>
              <w:ind w:firstLine="400" w:firstLineChars="200"/>
              <w:rPr>
                <w:rFonts w:hint="eastAsia" w:ascii="宋体" w:hAnsi="宋体" w:cs="宋体"/>
                <w:bCs/>
                <w:color w:val="000000"/>
                <w:sz w:val="20"/>
                <w:szCs w:val="20"/>
              </w:rPr>
            </w:pPr>
            <w:r>
              <w:rPr>
                <w:rFonts w:hint="eastAsia" w:ascii="宋体" w:hAnsi="宋体" w:cs="宋体"/>
                <w:bCs/>
                <w:color w:val="000000"/>
                <w:sz w:val="20"/>
                <w:szCs w:val="20"/>
              </w:rPr>
              <w:t>第三十三条第一款 负有危险化学品安全监督管理职责的部门、乡镇人民政府、街道办事处、开发区（工业园区）管理机构，应当制定危险化学品监督检查年度计划，并按照计划确定的监督检查对象、范围和方法进行监督检查。</w:t>
            </w:r>
          </w:p>
        </w:tc>
        <w:tc>
          <w:tcPr>
            <w:tcW w:w="1167"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vAlign w:val="center"/>
          </w:tcPr>
          <w:p>
            <w:pPr>
              <w:pStyle w:val="6"/>
              <w:numPr>
                <w:ilvl w:val="0"/>
                <w:numId w:val="2"/>
              </w:numPr>
              <w:spacing w:line="300" w:lineRule="exact"/>
              <w:ind w:left="0" w:firstLine="100" w:firstLineChars="50"/>
              <w:jc w:val="center"/>
              <w:rPr>
                <w:rFonts w:hint="eastAsia" w:ascii="宋体" w:hAnsi="宋体" w:cs="宋体"/>
                <w:color w:val="000000"/>
                <w:sz w:val="20"/>
                <w:szCs w:val="20"/>
              </w:rPr>
            </w:pPr>
          </w:p>
        </w:tc>
        <w:tc>
          <w:tcPr>
            <w:tcW w:w="1066" w:type="dxa"/>
            <w:vAlign w:val="center"/>
          </w:tcPr>
          <w:p>
            <w:pPr>
              <w:spacing w:line="300" w:lineRule="exact"/>
              <w:rPr>
                <w:rFonts w:hint="eastAsia" w:ascii="宋体" w:hAnsi="宋体" w:cs="宋体"/>
                <w:bCs/>
                <w:color w:val="000000"/>
                <w:sz w:val="20"/>
                <w:szCs w:val="20"/>
              </w:rPr>
            </w:pPr>
            <w:r>
              <w:rPr>
                <w:rFonts w:hint="eastAsia" w:ascii="宋体" w:hAnsi="宋体" w:cs="宋体"/>
                <w:color w:val="000000"/>
                <w:sz w:val="20"/>
                <w:szCs w:val="20"/>
              </w:rPr>
              <w:t>消防安全监督检查</w:t>
            </w:r>
          </w:p>
        </w:tc>
        <w:tc>
          <w:tcPr>
            <w:tcW w:w="764"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06XZ008000</w:t>
            </w:r>
          </w:p>
        </w:tc>
        <w:tc>
          <w:tcPr>
            <w:tcW w:w="1105" w:type="dxa"/>
            <w:vAlign w:val="center"/>
          </w:tcPr>
          <w:p>
            <w:pPr>
              <w:spacing w:line="300" w:lineRule="exact"/>
              <w:jc w:val="center"/>
              <w:rPr>
                <w:rFonts w:hint="eastAsia" w:ascii="宋体" w:hAnsi="宋体" w:cs="宋体"/>
                <w:color w:val="000000"/>
                <w:sz w:val="20"/>
                <w:szCs w:val="20"/>
                <w:highlight w:val="none"/>
                <w:lang w:val="en-US" w:eastAsia="zh-CN"/>
              </w:rPr>
            </w:pPr>
            <w:r>
              <w:rPr>
                <w:rFonts w:hint="eastAsia" w:ascii="宋体" w:hAnsi="宋体" w:cs="宋体"/>
                <w:color w:val="000000"/>
                <w:spacing w:val="0"/>
                <w:sz w:val="20"/>
                <w:szCs w:val="20"/>
                <w:lang w:eastAsia="zh-CN"/>
              </w:rPr>
              <w:t>各乡镇人民政府</w:t>
            </w:r>
          </w:p>
        </w:tc>
        <w:tc>
          <w:tcPr>
            <w:tcW w:w="9641" w:type="dxa"/>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【法律】《中华人民共和国消防法》（2019年修正）</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第三十一条 在农业收获季节、森林和草原防火期间、重大节假日期间以及火灾多发季节，地方各级人民政府应当组织开展有针对性的消防宣传教育，采取防火措施，进行消防安全检查。</w:t>
            </w:r>
          </w:p>
          <w:p>
            <w:pPr>
              <w:ind w:firstLine="400" w:firstLineChars="200"/>
              <w:rPr>
                <w:rFonts w:hint="eastAsia" w:ascii="宋体" w:hAnsi="宋体" w:cs="宋体"/>
                <w:bCs/>
                <w:color w:val="000000"/>
                <w:sz w:val="20"/>
                <w:szCs w:val="20"/>
              </w:rPr>
            </w:pPr>
            <w:r>
              <w:rPr>
                <w:rFonts w:hint="eastAsia" w:ascii="宋体" w:hAnsi="宋体" w:cs="宋体"/>
                <w:color w:val="000000"/>
                <w:sz w:val="20"/>
                <w:szCs w:val="20"/>
              </w:rPr>
              <w:t>第三十二条 乡镇人民政府、城市街道办事处应当指导、支持和帮助村民委员会、居民委员会开展群众性的消防工作。村民委员会、居民委员会应当确定消防安全管理人，组织制定防火安全公约，进行防火安全检查。</w:t>
            </w:r>
          </w:p>
        </w:tc>
        <w:tc>
          <w:tcPr>
            <w:tcW w:w="1167" w:type="dxa"/>
            <w:vAlign w:val="center"/>
          </w:tcPr>
          <w:p>
            <w:pPr>
              <w:spacing w:line="300" w:lineRule="exact"/>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综合执法办公室（应急管理办公室）</w:t>
            </w:r>
          </w:p>
        </w:tc>
      </w:tr>
    </w:tbl>
    <w:p>
      <w:pPr>
        <w:pStyle w:val="2"/>
        <w:tabs>
          <w:tab w:val="left" w:pos="5029"/>
        </w:tabs>
        <w:ind w:left="0" w:leftChars="0" w:firstLine="0" w:firstLineChars="0"/>
        <w:jc w:val="both"/>
        <w:rPr>
          <w:rFonts w:hint="eastAsia" w:eastAsia="宋体"/>
          <w:lang w:eastAsia="zh-CN"/>
        </w:rPr>
      </w:pPr>
    </w:p>
    <w:p>
      <w:pPr>
        <w:widowControl/>
        <w:spacing w:before="312" w:beforeLines="100" w:after="312" w:afterLines="100"/>
        <w:jc w:val="center"/>
        <w:rPr>
          <w:rFonts w:hint="eastAsia" w:ascii="黑体" w:hAnsi="黑体" w:eastAsia="黑体"/>
          <w:bCs/>
          <w:color w:val="000000"/>
          <w:sz w:val="32"/>
          <w:szCs w:val="32"/>
        </w:rPr>
      </w:pPr>
    </w:p>
    <w:p>
      <w:pPr>
        <w:widowControl/>
        <w:spacing w:before="312" w:beforeLines="100" w:after="312" w:afterLines="100"/>
        <w:jc w:val="center"/>
        <w:rPr>
          <w:rFonts w:hint="eastAsia" w:ascii="黑体" w:hAnsi="黑体" w:eastAsia="黑体"/>
          <w:bCs/>
          <w:color w:val="000000"/>
          <w:sz w:val="32"/>
          <w:szCs w:val="32"/>
        </w:rPr>
      </w:pPr>
    </w:p>
    <w:p>
      <w:pPr>
        <w:widowControl/>
        <w:spacing w:before="312" w:beforeLines="100" w:after="312" w:afterLines="100"/>
        <w:jc w:val="center"/>
        <w:rPr>
          <w:rFonts w:hint="eastAsia" w:ascii="黑体" w:hAnsi="黑体" w:eastAsia="黑体"/>
          <w:bCs/>
          <w:color w:val="000000"/>
          <w:sz w:val="32"/>
          <w:szCs w:val="32"/>
          <w:lang w:eastAsia="zh-CN"/>
        </w:rPr>
      </w:pPr>
    </w:p>
    <w:p>
      <w:pPr>
        <w:widowControl/>
        <w:spacing w:before="312" w:beforeLines="100" w:after="312" w:afterLines="100"/>
        <w:jc w:val="center"/>
        <w:rPr>
          <w:rFonts w:hint="eastAsia" w:ascii="黑体" w:hAnsi="黑体" w:eastAsia="黑体"/>
          <w:bCs/>
          <w:color w:val="000000"/>
          <w:sz w:val="32"/>
          <w:szCs w:val="32"/>
          <w:lang w:eastAsia="zh-CN"/>
        </w:rPr>
      </w:pPr>
    </w:p>
    <w:p>
      <w:pPr>
        <w:widowControl/>
        <w:spacing w:before="312" w:beforeLines="100" w:after="312" w:afterLines="100"/>
        <w:jc w:val="center"/>
        <w:rPr>
          <w:rFonts w:hint="eastAsia" w:ascii="黑体" w:hAnsi="黑体" w:eastAsia="黑体"/>
          <w:bCs/>
          <w:color w:val="000000"/>
          <w:sz w:val="32"/>
          <w:szCs w:val="32"/>
          <w:lang w:eastAsia="zh-CN"/>
        </w:rPr>
      </w:pPr>
    </w:p>
    <w:p>
      <w:pPr>
        <w:widowControl/>
        <w:spacing w:before="312" w:beforeLines="100" w:after="312" w:afterLines="100"/>
        <w:jc w:val="center"/>
        <w:rPr>
          <w:rFonts w:ascii="黑体" w:hAnsi="黑体" w:eastAsia="黑体"/>
          <w:bCs/>
          <w:color w:val="000000"/>
          <w:sz w:val="32"/>
          <w:szCs w:val="32"/>
        </w:rPr>
      </w:pPr>
      <w:r>
        <w:rPr>
          <w:rFonts w:hint="eastAsia" w:ascii="黑体" w:hAnsi="黑体" w:eastAsia="黑体"/>
          <w:bCs/>
          <w:color w:val="000000"/>
          <w:sz w:val="32"/>
          <w:szCs w:val="32"/>
          <w:lang w:eastAsia="zh-CN"/>
        </w:rPr>
        <w:t>三</w:t>
      </w:r>
      <w:r>
        <w:rPr>
          <w:rFonts w:ascii="黑体" w:hAnsi="黑体" w:eastAsia="黑体"/>
          <w:bCs/>
          <w:color w:val="000000"/>
          <w:sz w:val="32"/>
          <w:szCs w:val="32"/>
        </w:rPr>
        <w:t>、行政确认</w:t>
      </w:r>
      <w:r>
        <w:rPr>
          <w:rFonts w:hint="eastAsia" w:ascii="黑体" w:hAnsi="黑体" w:eastAsia="黑体"/>
          <w:bCs/>
          <w:color w:val="000000"/>
          <w:sz w:val="32"/>
          <w:szCs w:val="32"/>
        </w:rPr>
        <w:t>（</w:t>
      </w:r>
      <w:r>
        <w:rPr>
          <w:rFonts w:hint="eastAsia" w:ascii="黑体" w:hAnsi="黑体" w:eastAsia="黑体"/>
          <w:bCs/>
          <w:color w:val="000000"/>
          <w:sz w:val="32"/>
          <w:szCs w:val="32"/>
          <w:lang w:val="en-US" w:eastAsia="zh-CN"/>
        </w:rPr>
        <w:t>5</w:t>
      </w:r>
      <w:r>
        <w:rPr>
          <w:rFonts w:hint="eastAsia" w:ascii="黑体" w:hAnsi="黑体" w:eastAsia="黑体"/>
          <w:bCs/>
          <w:color w:val="000000"/>
          <w:sz w:val="32"/>
          <w:szCs w:val="32"/>
        </w:rPr>
        <w:t>项）</w:t>
      </w:r>
    </w:p>
    <w:tbl>
      <w:tblPr>
        <w:tblStyle w:val="4"/>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081"/>
        <w:gridCol w:w="738"/>
        <w:gridCol w:w="1112"/>
        <w:gridCol w:w="9638"/>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2"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序号</w:t>
            </w:r>
          </w:p>
        </w:tc>
        <w:tc>
          <w:tcPr>
            <w:tcW w:w="1081"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职权名称</w:t>
            </w:r>
          </w:p>
        </w:tc>
        <w:tc>
          <w:tcPr>
            <w:tcW w:w="738"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基本编码</w:t>
            </w:r>
          </w:p>
        </w:tc>
        <w:tc>
          <w:tcPr>
            <w:tcW w:w="1112"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实施</w:t>
            </w:r>
          </w:p>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单位</w:t>
            </w:r>
          </w:p>
        </w:tc>
        <w:tc>
          <w:tcPr>
            <w:tcW w:w="9638" w:type="dxa"/>
            <w:vAlign w:val="center"/>
          </w:tcPr>
          <w:p>
            <w:pPr>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职权依据</w:t>
            </w:r>
          </w:p>
        </w:tc>
        <w:tc>
          <w:tcPr>
            <w:tcW w:w="1172" w:type="dxa"/>
            <w:vAlign w:val="center"/>
          </w:tcPr>
          <w:p>
            <w:pPr>
              <w:spacing w:line="240" w:lineRule="exact"/>
              <w:jc w:val="center"/>
              <w:rPr>
                <w:rFonts w:hint="eastAsia" w:ascii="方正黑体简体" w:hAnsi="方正黑体简体" w:eastAsia="方正黑体简体" w:cs="方正黑体简体"/>
                <w:bCs/>
                <w:color w:val="000000"/>
                <w:sz w:val="20"/>
                <w:szCs w:val="20"/>
              </w:rPr>
            </w:pPr>
            <w:r>
              <w:rPr>
                <w:rFonts w:hint="eastAsia" w:ascii="方正黑体简体" w:hAnsi="方正黑体简体" w:eastAsia="方正黑体简体" w:cs="方正黑体简体"/>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432" w:type="dxa"/>
            <w:vAlign w:val="center"/>
          </w:tcPr>
          <w:p>
            <w:pPr>
              <w:pStyle w:val="6"/>
              <w:numPr>
                <w:ilvl w:val="0"/>
                <w:numId w:val="3"/>
              </w:numPr>
              <w:spacing w:line="300" w:lineRule="exact"/>
              <w:ind w:left="0" w:firstLine="100" w:firstLineChars="50"/>
              <w:jc w:val="center"/>
              <w:rPr>
                <w:rFonts w:hint="eastAsia" w:ascii="宋体" w:hAnsi="宋体" w:cs="宋体"/>
                <w:color w:val="000000"/>
                <w:sz w:val="20"/>
                <w:szCs w:val="20"/>
              </w:rPr>
            </w:pPr>
          </w:p>
        </w:tc>
        <w:tc>
          <w:tcPr>
            <w:tcW w:w="1081"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劳动者从事个体经营或灵活就业的就业登记</w:t>
            </w:r>
          </w:p>
        </w:tc>
        <w:tc>
          <w:tcPr>
            <w:tcW w:w="738"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07XZ001000</w:t>
            </w:r>
          </w:p>
        </w:tc>
        <w:tc>
          <w:tcPr>
            <w:tcW w:w="111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兴庆区前进街街道办事处</w:t>
            </w:r>
          </w:p>
        </w:tc>
        <w:tc>
          <w:tcPr>
            <w:tcW w:w="9638" w:type="dxa"/>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【部门规章】《就业服务与就业管理规定》（2018年人社部令第38号修订）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第六十二条第二款 劳动者从事个体经营或灵活就业的，由本人在街道、乡镇公共就业服务机构办理就业登记。</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第三款 就业登记的内容主要包括劳动者个人信息、就业类型、就业时间、就业单位以及订立、终止或者解除劳动合同情况等。就业登记的具体内容和所需材料由省级劳动保障行政部门规定。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第四款 公共就业服务机构应当对用人单位办理就业登记及相关手续设立专门服务窗口，简化程序，方便用人单位办理。</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【规范性文件】《宁夏回族自治区就业与失业登记办法》（宁政发〔2009〕28号）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第九条 自主创业人员、灵活就业人员应当自其实现就业之日起30日内，持工商营业执照副本或者本人有效身份证件到其就业所在地的社区或者街道、乡（镇）公共就业服务机构办理就业登记。</w:t>
            </w:r>
          </w:p>
        </w:tc>
        <w:tc>
          <w:tcPr>
            <w:tcW w:w="1172"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5" w:hRule="atLeast"/>
          <w:jc w:val="center"/>
        </w:trPr>
        <w:tc>
          <w:tcPr>
            <w:tcW w:w="432" w:type="dxa"/>
            <w:vAlign w:val="center"/>
          </w:tcPr>
          <w:p>
            <w:pPr>
              <w:pStyle w:val="6"/>
              <w:numPr>
                <w:ilvl w:val="0"/>
                <w:numId w:val="3"/>
              </w:numPr>
              <w:spacing w:line="300" w:lineRule="exact"/>
              <w:ind w:left="0" w:firstLine="100" w:firstLineChars="50"/>
              <w:jc w:val="center"/>
              <w:rPr>
                <w:rFonts w:hint="eastAsia" w:ascii="宋体" w:hAnsi="宋体" w:cs="宋体"/>
                <w:color w:val="000000"/>
                <w:sz w:val="20"/>
                <w:szCs w:val="20"/>
              </w:rPr>
            </w:pPr>
          </w:p>
        </w:tc>
        <w:tc>
          <w:tcPr>
            <w:tcW w:w="1081" w:type="dxa"/>
            <w:vAlign w:val="center"/>
          </w:tcPr>
          <w:p>
            <w:pPr>
              <w:spacing w:line="300" w:lineRule="exact"/>
              <w:rPr>
                <w:rFonts w:hint="eastAsia" w:ascii="宋体" w:hAnsi="宋体" w:cs="宋体"/>
                <w:color w:val="000000"/>
                <w:sz w:val="20"/>
                <w:szCs w:val="20"/>
              </w:rPr>
            </w:pPr>
            <w:r>
              <w:rPr>
                <w:rFonts w:hint="eastAsia" w:ascii="宋体" w:hAnsi="宋体" w:cs="宋体"/>
                <w:color w:val="000000"/>
                <w:spacing w:val="-11"/>
                <w:sz w:val="20"/>
                <w:szCs w:val="20"/>
              </w:rPr>
              <w:t>流动人口婚育证明</w:t>
            </w:r>
          </w:p>
        </w:tc>
        <w:tc>
          <w:tcPr>
            <w:tcW w:w="738"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07XZ003000</w:t>
            </w:r>
          </w:p>
        </w:tc>
        <w:tc>
          <w:tcPr>
            <w:tcW w:w="111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兴庆区前进街街道办事处</w:t>
            </w:r>
          </w:p>
        </w:tc>
        <w:tc>
          <w:tcPr>
            <w:tcW w:w="9638" w:type="dxa"/>
            <w:vAlign w:val="center"/>
          </w:tcPr>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【行政法规】《流动人口计划生育工作条例》（2009年国务院令第555号）</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第六条 乡镇人民政府、街道办事处负责本管辖区域内流动人口计划生育工作，对流动人口实施计划生育管理，开展计划生育宣传教育</w:t>
            </w:r>
            <w:r>
              <w:rPr>
                <w:rFonts w:hint="eastAsia" w:ascii="宋体" w:hAnsi="宋体" w:cs="宋体"/>
                <w:color w:val="000000"/>
                <w:sz w:val="20"/>
                <w:szCs w:val="20"/>
                <w:lang w:eastAsia="zh-CN"/>
              </w:rPr>
              <w:t>；</w:t>
            </w:r>
            <w:r>
              <w:rPr>
                <w:rFonts w:hint="eastAsia" w:ascii="宋体" w:hAnsi="宋体" w:cs="宋体"/>
                <w:color w:val="000000"/>
                <w:sz w:val="20"/>
                <w:szCs w:val="20"/>
              </w:rPr>
              <w:t>组织从事</w:t>
            </w:r>
            <w:r>
              <w:rPr>
                <w:rFonts w:hint="eastAsia" w:ascii="宋体" w:hAnsi="宋体" w:cs="宋体"/>
                <w:sz w:val="20"/>
                <w:szCs w:val="20"/>
              </w:rPr>
              <w:fldChar w:fldCharType="begin"/>
            </w:r>
            <w:r>
              <w:rPr>
                <w:rFonts w:hint="eastAsia" w:ascii="宋体" w:hAnsi="宋体" w:cs="宋体"/>
                <w:sz w:val="20"/>
                <w:szCs w:val="20"/>
              </w:rPr>
              <w:instrText xml:space="preserve"> HYPERLINK "http://baike.baidu.com/view/2313349.htm" </w:instrText>
            </w:r>
            <w:r>
              <w:rPr>
                <w:rFonts w:hint="eastAsia" w:ascii="宋体" w:hAnsi="宋体" w:cs="宋体"/>
                <w:sz w:val="20"/>
                <w:szCs w:val="20"/>
              </w:rPr>
              <w:fldChar w:fldCharType="separate"/>
            </w:r>
            <w:r>
              <w:rPr>
                <w:rFonts w:hint="eastAsia" w:ascii="宋体" w:hAnsi="宋体" w:cs="宋体"/>
                <w:color w:val="000000"/>
                <w:sz w:val="20"/>
                <w:szCs w:val="20"/>
              </w:rPr>
              <w:t>计划生育技术服务</w:t>
            </w:r>
            <w:r>
              <w:rPr>
                <w:rFonts w:hint="eastAsia" w:ascii="宋体" w:hAnsi="宋体" w:cs="宋体"/>
                <w:color w:val="000000"/>
                <w:sz w:val="20"/>
                <w:szCs w:val="20"/>
              </w:rPr>
              <w:fldChar w:fldCharType="end"/>
            </w:r>
            <w:r>
              <w:rPr>
                <w:rFonts w:hint="eastAsia" w:ascii="宋体" w:hAnsi="宋体" w:cs="宋体"/>
                <w:color w:val="000000"/>
                <w:sz w:val="20"/>
                <w:szCs w:val="20"/>
              </w:rPr>
              <w:t>的机构指导流动人口中的育龄夫妻（以下称育龄夫妻）选择安全、有效、适宜的避孕节育措施，依法向育龄夫妻免费提供国家规定的基本项目的计划生育技术服务。</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流动人口现居住地和户籍所在地的乡镇人民政府、街道办事处之间建立流动人口计划生育信息通报制度，及时采集流动人口计划生育信息，运用流动人口计划生育信息管理系统核实、通报流动人口计划生育信息。</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第七条 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流动人口户籍所在地的乡镇人民政府处应当及时出具婚育证明。</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第八条 成年育龄妇女应当自到达现居住地之日起30日内提交婚育证明。成年育龄妇女可以向现居住地的乡镇人民政府或者街道办事处提交婚育证明，也可以通过村民委员会、居民委员会向现居住地的乡镇人民政府或者街道办事处提交婚育证明。</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流动人口现居住地的乡镇人民政府、街道办事处应当查验婚育证明，督促未办理婚育证明的成年育龄妇女及时补办婚育证明</w:t>
            </w:r>
            <w:r>
              <w:rPr>
                <w:rFonts w:hint="eastAsia" w:ascii="宋体" w:hAnsi="宋体" w:cs="宋体"/>
                <w:color w:val="000000"/>
                <w:sz w:val="20"/>
                <w:szCs w:val="20"/>
                <w:lang w:eastAsia="zh-CN"/>
              </w:rPr>
              <w:t>；</w:t>
            </w:r>
            <w:r>
              <w:rPr>
                <w:rFonts w:hint="eastAsia" w:ascii="宋体" w:hAnsi="宋体" w:cs="宋体"/>
                <w:color w:val="000000"/>
                <w:sz w:val="20"/>
                <w:szCs w:val="20"/>
              </w:rPr>
              <w:t>告知流动人口在现居住地可以享受的计划生育服务和奖励、优待，以及应当履行的计划生育相关义务。</w:t>
            </w:r>
          </w:p>
          <w:p>
            <w:pPr>
              <w:spacing w:line="29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村民委员会、居民委员会应当协助乡镇人民政府、街道办事处开展本条第二款规定的工作，做好流动人口婚育情况登记。</w:t>
            </w:r>
          </w:p>
        </w:tc>
        <w:tc>
          <w:tcPr>
            <w:tcW w:w="1172"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432" w:type="dxa"/>
            <w:vAlign w:val="center"/>
          </w:tcPr>
          <w:p>
            <w:pPr>
              <w:pStyle w:val="6"/>
              <w:numPr>
                <w:ilvl w:val="0"/>
                <w:numId w:val="3"/>
              </w:numPr>
              <w:spacing w:line="300" w:lineRule="exact"/>
              <w:ind w:left="0" w:firstLine="100" w:firstLineChars="50"/>
              <w:jc w:val="center"/>
              <w:rPr>
                <w:rFonts w:hint="eastAsia" w:ascii="宋体" w:hAnsi="宋体" w:cs="宋体"/>
                <w:color w:val="000000"/>
                <w:sz w:val="20"/>
                <w:szCs w:val="20"/>
              </w:rPr>
            </w:pPr>
          </w:p>
        </w:tc>
        <w:tc>
          <w:tcPr>
            <w:tcW w:w="1081"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流动人口避孕节育情况的证明</w:t>
            </w:r>
          </w:p>
        </w:tc>
        <w:tc>
          <w:tcPr>
            <w:tcW w:w="738"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07XZ004000</w:t>
            </w:r>
          </w:p>
        </w:tc>
        <w:tc>
          <w:tcPr>
            <w:tcW w:w="111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兴庆区前进街街道办事处</w:t>
            </w:r>
          </w:p>
        </w:tc>
        <w:tc>
          <w:tcPr>
            <w:tcW w:w="9638" w:type="dxa"/>
            <w:vAlign w:val="center"/>
          </w:tcPr>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【行政法规】《流动人口计划生育工作条例》（2009年国务院令第555号）</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第十三条 流动人口现居住地从事计划生育技术服务的机构应当按照所在地省、自治区、直辖市或者较大的市的规定，为已婚育龄妇女出具避孕节育情况证明。</w:t>
            </w:r>
          </w:p>
          <w:p>
            <w:pPr>
              <w:spacing w:line="300" w:lineRule="exact"/>
              <w:ind w:firstLine="400" w:firstLineChars="200"/>
              <w:rPr>
                <w:rFonts w:hint="eastAsia" w:ascii="宋体" w:hAnsi="宋体" w:cs="宋体"/>
                <w:color w:val="000000"/>
                <w:sz w:val="20"/>
                <w:szCs w:val="20"/>
              </w:rPr>
            </w:pPr>
            <w:r>
              <w:rPr>
                <w:rFonts w:hint="eastAsia" w:ascii="宋体" w:hAnsi="宋体" w:cs="宋体"/>
                <w:color w:val="000000"/>
                <w:sz w:val="20"/>
                <w:szCs w:val="20"/>
              </w:rPr>
              <w:t>流动人口现居住地的乡镇人民政府或者街道办事处应当根据已婚育龄妇女的避孕节育情况证明，及时向其户籍所在地的乡镇人民政府或者街道办事处通报流动人口避孕节育情况。流动人口户籍所在地的县级人民政府人口和计划生育部门、乡镇人民政府或者街道办事处不得要求已婚育龄妇女返回户籍所在地进行避孕节育情况检查。</w:t>
            </w:r>
          </w:p>
        </w:tc>
        <w:tc>
          <w:tcPr>
            <w:tcW w:w="1172"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dxa"/>
            <w:vAlign w:val="center"/>
          </w:tcPr>
          <w:p>
            <w:pPr>
              <w:pStyle w:val="6"/>
              <w:numPr>
                <w:ilvl w:val="0"/>
                <w:numId w:val="3"/>
              </w:numPr>
              <w:spacing w:line="300" w:lineRule="exact"/>
              <w:ind w:left="0" w:firstLine="100" w:firstLineChars="50"/>
              <w:jc w:val="center"/>
              <w:rPr>
                <w:rFonts w:hint="eastAsia" w:ascii="宋体" w:hAnsi="宋体" w:cs="宋体"/>
                <w:color w:val="000000"/>
                <w:sz w:val="20"/>
                <w:szCs w:val="20"/>
              </w:rPr>
            </w:pPr>
          </w:p>
        </w:tc>
        <w:tc>
          <w:tcPr>
            <w:tcW w:w="1081"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流动人口生育服务登记</w:t>
            </w:r>
          </w:p>
        </w:tc>
        <w:tc>
          <w:tcPr>
            <w:tcW w:w="738"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07XZ005000</w:t>
            </w:r>
          </w:p>
        </w:tc>
        <w:tc>
          <w:tcPr>
            <w:tcW w:w="111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兴庆区前进街街道办事处</w:t>
            </w:r>
          </w:p>
        </w:tc>
        <w:tc>
          <w:tcPr>
            <w:tcW w:w="9638" w:type="dxa"/>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【行政法规】《流动人口计划生育工作条例》（2009年国务院令第555号）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第十六条 育龄夫妻生育第一个子女的，可以在现居住地的乡镇人民政府或者街道办事处办理生育服务登记。办理生育服务登记，应当提供下列证明材料：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（一）夫妻双方的居民身份证；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（二）结婚证；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（三）女方的婚育证明和男方户籍所在地的乡镇人民政府或者街道办事处出具的婚育情况证明材料。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育龄夫妻现居住地的乡镇人民政府或者街道办事处应当自收到女方的婚育证明和男方的婚育情况证明材料之日起7个工作日内，向育龄夫妻户籍所在地的乡镇人民政府或者街道办事处核实有关情况。育龄夫妻户籍所在地的乡镇人民政府或者街道办事处应当自接到核实要求之日起15个工作日内予以反馈。核查无误的，育龄夫妻现居住地的乡镇人民政府或者街道办事处应当在接到情况反馈后即时办理生育服务登记；情况有误、不予办理的，应当书面说明理由。</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现居住地的乡镇人民政府或者街道办事处应当自办理生育服务登记之日起15个工作日内向育龄夫妻户籍所在地的乡镇人民政府或者街道办事处通报办理结果。</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【规范性文件】《宁夏回族自治区生育登记服务暂行办法》（宁卫计发〔2016〕130号）</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第八条 生育一孩、二孩的夫妻一般应在怀孕前后到一方户籍地或现居住地村（居）民委员会进行生育登记，村（居）不具备办理条件的，直接到乡镇（街道）人民政府（街道办）办理登记，因特殊情况生育前未登记的，生育后应予以补登。生育三孩的夫妻在一方户籍地所在的乡镇（街道）提出再生育申请，报县（市、区）卫生和计划生育行政部门审批。</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第十条 合法登记结婚的夫妻,双方均属初育的，按以下程序进行一孩生育登记，根据登记对象需要，免费发放生育服务证，自主安排生育:</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1.个人登记。（1）现场登记：登记人填写《一孩生育登记表》，非登记人签名的《登记表》应提供有登记人签字的委托书,并提供以下材料:①夫妻双方身份证或户口簿</w:t>
            </w:r>
            <w:r>
              <w:rPr>
                <w:rFonts w:hint="eastAsia" w:ascii="宋体" w:hAnsi="宋体" w:cs="宋体"/>
                <w:color w:val="000000"/>
                <w:sz w:val="20"/>
                <w:szCs w:val="20"/>
                <w:lang w:eastAsia="zh-CN"/>
              </w:rPr>
              <w:t>；</w:t>
            </w:r>
            <w:r>
              <w:rPr>
                <w:rFonts w:hint="eastAsia" w:ascii="宋体" w:hAnsi="宋体" w:cs="宋体"/>
                <w:color w:val="000000"/>
                <w:sz w:val="20"/>
                <w:szCs w:val="20"/>
              </w:rPr>
              <w:t>②结婚证(再婚的需提供相关证件或材料); ③生育后补登的，需提交《出生医学证明》；④夫妻近期2寸免冠合影照2张。（2）网上登记：网上填写登记信息，上传相关材料。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2.办理登记。受理登记地应当及时核实申请人提交的材料和信息(无法核实的由夫妻双方提供书面承诺),录入登记信息，为其进行一孩生育登记，发放生育服务证。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第十一条 合法登记结婚的夫妻，双方已生育子女数合计为一个，按以下程序进行二孩生育登记：</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1.个人登记。（1）现场登记：登记人填写《二孩生育登记表》，非登记人签名的《登记表》应提供有登记人签字的委托书,并提供以下材料:①夫妻双方身份证或户口簿</w:t>
            </w:r>
            <w:bookmarkStart w:id="0" w:name="_GoBack"/>
            <w:bookmarkEnd w:id="0"/>
            <w:r>
              <w:rPr>
                <w:rFonts w:hint="eastAsia" w:ascii="宋体" w:hAnsi="宋体" w:cs="宋体"/>
                <w:color w:val="000000"/>
                <w:sz w:val="20"/>
                <w:szCs w:val="20"/>
              </w:rPr>
              <w:t>;②结婚证(再婚的需提供相关证件或材料);③生育情况证明(再婚的需提供再婚前生育情况证明)；④生育后补登的，需提交《出生医学证明》；⑤夫妻近期2寸免冠合影照2张。（2）网上登记：网上填写登记信息，上传相关材料。</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2.办理登记。受理登记地及时核实申请人提交的材料和信息(无法核实的由夫妻双方提供书面承诺),录入登记信息，为其进行二孩生育登记，发放生育服务证。</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受理登记地能够通过全员人口数据库获取的信息，不再要求申请人提供证明材料。村（居）要将登记情况按月上报夫妻户籍地或现居住地乡镇(街道)，乡镇（街道）要将直接受理登记情况按月反馈夫妻户籍地或现居住地村（居）。</w:t>
            </w:r>
          </w:p>
        </w:tc>
        <w:tc>
          <w:tcPr>
            <w:tcW w:w="1172"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5" w:hRule="atLeast"/>
          <w:jc w:val="center"/>
        </w:trPr>
        <w:tc>
          <w:tcPr>
            <w:tcW w:w="432" w:type="dxa"/>
            <w:vAlign w:val="center"/>
          </w:tcPr>
          <w:p>
            <w:pPr>
              <w:pStyle w:val="6"/>
              <w:numPr>
                <w:ilvl w:val="0"/>
                <w:numId w:val="3"/>
              </w:numPr>
              <w:spacing w:line="300" w:lineRule="exact"/>
              <w:ind w:left="0" w:firstLine="100" w:firstLineChars="50"/>
              <w:jc w:val="center"/>
              <w:rPr>
                <w:rFonts w:hint="eastAsia" w:ascii="宋体" w:hAnsi="宋体" w:cs="宋体"/>
                <w:color w:val="000000"/>
                <w:sz w:val="20"/>
                <w:szCs w:val="20"/>
              </w:rPr>
            </w:pPr>
          </w:p>
        </w:tc>
        <w:tc>
          <w:tcPr>
            <w:tcW w:w="1081" w:type="dxa"/>
            <w:vAlign w:val="center"/>
          </w:tcPr>
          <w:p>
            <w:pPr>
              <w:spacing w:line="300" w:lineRule="exact"/>
              <w:rPr>
                <w:rFonts w:hint="eastAsia" w:ascii="宋体" w:hAnsi="宋体" w:cs="宋体"/>
                <w:color w:val="000000"/>
                <w:sz w:val="20"/>
                <w:szCs w:val="20"/>
              </w:rPr>
            </w:pPr>
            <w:r>
              <w:rPr>
                <w:rFonts w:hint="eastAsia" w:ascii="宋体" w:hAnsi="宋体" w:cs="宋体"/>
                <w:color w:val="000000"/>
                <w:sz w:val="20"/>
                <w:szCs w:val="20"/>
              </w:rPr>
              <w:t>兵役登记</w:t>
            </w:r>
          </w:p>
        </w:tc>
        <w:tc>
          <w:tcPr>
            <w:tcW w:w="738"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rPr>
              <w:t>07XZ006000</w:t>
            </w:r>
          </w:p>
        </w:tc>
        <w:tc>
          <w:tcPr>
            <w:tcW w:w="1112" w:type="dxa"/>
            <w:vAlign w:val="center"/>
          </w:tcPr>
          <w:p>
            <w:pPr>
              <w:spacing w:line="300" w:lineRule="exact"/>
              <w:jc w:val="center"/>
              <w:rPr>
                <w:rFonts w:hint="eastAsia" w:ascii="宋体" w:hAnsi="宋体" w:cs="宋体"/>
                <w:color w:val="000000"/>
                <w:sz w:val="20"/>
                <w:szCs w:val="20"/>
              </w:rPr>
            </w:pPr>
            <w:r>
              <w:rPr>
                <w:rFonts w:hint="eastAsia" w:ascii="宋体" w:hAnsi="宋体" w:cs="宋体"/>
                <w:color w:val="000000"/>
                <w:sz w:val="20"/>
                <w:szCs w:val="20"/>
                <w:highlight w:val="none"/>
                <w:lang w:val="en-US" w:eastAsia="zh-CN"/>
              </w:rPr>
              <w:t>兴庆区前进街街道办事处</w:t>
            </w:r>
          </w:p>
        </w:tc>
        <w:tc>
          <w:tcPr>
            <w:tcW w:w="9638" w:type="dxa"/>
            <w:vAlign w:val="center"/>
          </w:tcPr>
          <w:p>
            <w:pPr>
              <w:ind w:firstLine="400" w:firstLineChars="200"/>
              <w:rPr>
                <w:rFonts w:hint="eastAsia" w:ascii="宋体" w:hAnsi="宋体" w:cs="宋体"/>
                <w:color w:val="000000"/>
                <w:sz w:val="20"/>
                <w:szCs w:val="20"/>
              </w:rPr>
            </w:pPr>
            <w:r>
              <w:rPr>
                <w:rFonts w:hint="eastAsia" w:ascii="宋体" w:hAnsi="宋体" w:cs="宋体"/>
                <w:color w:val="000000"/>
                <w:sz w:val="20"/>
                <w:szCs w:val="20"/>
              </w:rPr>
              <w:t>【军事法规】《征兵工作条例》（2001年国务院、中央军事委员会令第316号修订）</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第十二条 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第十三条 机关、团体、企业事业单位和乡、民族乡、镇的人民政府以及街道办事处，按照县、市兵役机关的安排和要求，对本单位和本地区的应征公民，进行体格目测、病史调查和政治、文化初步审查，选定政治思想好、身体好、文化程度高的应征公民为当年预定征集的对象，并通知本人。</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第十七条 机关、团体、企业事业单位和乡、民族乡、镇的人民政府以及街道办事处，应当组织应征公民按时到指定医院或者体检站进行体格检查。送检人数，由县、市征兵办公室根据上级赋予的征兵任务和当地应征公民的体质情况确定。</w:t>
            </w:r>
          </w:p>
          <w:p>
            <w:pPr>
              <w:ind w:firstLine="400" w:firstLineChars="200"/>
              <w:rPr>
                <w:rFonts w:hint="eastAsia" w:ascii="宋体" w:hAnsi="宋体" w:cs="宋体"/>
                <w:color w:val="000000"/>
                <w:sz w:val="20"/>
                <w:szCs w:val="20"/>
              </w:rPr>
            </w:pPr>
            <w:r>
              <w:rPr>
                <w:rFonts w:hint="eastAsia" w:ascii="宋体" w:hAnsi="宋体" w:cs="宋体"/>
                <w:color w:val="000000"/>
                <w:sz w:val="20"/>
                <w:szCs w:val="20"/>
              </w:rPr>
              <w:t>第二十一条 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tc>
        <w:tc>
          <w:tcPr>
            <w:tcW w:w="1172" w:type="dxa"/>
            <w:vAlign w:val="center"/>
          </w:tcPr>
          <w:p>
            <w:pPr>
              <w:spacing w:line="300" w:lineRule="exac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党建工作办公室</w:t>
            </w:r>
          </w:p>
        </w:tc>
      </w:tr>
    </w:tbl>
    <w:p>
      <w:pPr>
        <w:widowControl/>
        <w:spacing w:before="312" w:beforeLines="100" w:after="312" w:afterLines="100"/>
        <w:jc w:val="center"/>
        <w:rPr>
          <w:rFonts w:hint="eastAsia" w:ascii="黑体" w:hAnsi="黑体" w:eastAsia="黑体"/>
          <w:bCs/>
          <w:color w:val="000000"/>
          <w:sz w:val="32"/>
          <w:szCs w:val="32"/>
          <w:highlight w:val="none"/>
          <w:lang w:eastAsia="zh-CN"/>
        </w:rPr>
      </w:pPr>
    </w:p>
    <w:p>
      <w:pPr>
        <w:pStyle w:val="2"/>
        <w:jc w:val="both"/>
        <w:rPr>
          <w:rFonts w:hint="eastAsia"/>
          <w:lang w:eastAsia="zh-CN"/>
        </w:rPr>
      </w:pPr>
    </w:p>
    <w:p>
      <w:pPr>
        <w:widowControl/>
        <w:spacing w:before="312" w:beforeLines="100" w:after="312" w:afterLines="100"/>
        <w:jc w:val="center"/>
        <w:rPr>
          <w:rFonts w:hint="eastAsia" w:ascii="黑体" w:hAnsi="黑体" w:eastAsia="黑体"/>
          <w:bCs/>
          <w:color w:val="000000"/>
          <w:sz w:val="32"/>
          <w:szCs w:val="32"/>
          <w:highlight w:val="none"/>
          <w:lang w:eastAsia="zh-CN"/>
        </w:rPr>
      </w:pPr>
    </w:p>
    <w:p>
      <w:pPr>
        <w:widowControl/>
        <w:numPr>
          <w:ilvl w:val="0"/>
          <w:numId w:val="0"/>
        </w:numPr>
        <w:spacing w:before="312" w:beforeLines="100" w:after="312" w:afterLines="100"/>
        <w:jc w:val="center"/>
        <w:rPr>
          <w:rFonts w:ascii="黑体" w:hAnsi="黑体" w:eastAsia="黑体"/>
          <w:bCs/>
          <w:color w:val="000000"/>
          <w:sz w:val="32"/>
          <w:szCs w:val="32"/>
          <w:highlight w:val="none"/>
        </w:rPr>
      </w:pPr>
      <w:r>
        <w:rPr>
          <w:rFonts w:hint="eastAsia" w:ascii="黑体" w:hAnsi="黑体" w:eastAsia="黑体"/>
          <w:bCs/>
          <w:color w:val="000000"/>
          <w:sz w:val="32"/>
          <w:szCs w:val="32"/>
          <w:highlight w:val="none"/>
          <w:lang w:eastAsia="zh-CN"/>
        </w:rPr>
        <w:t>四</w:t>
      </w:r>
      <w:r>
        <w:rPr>
          <w:rFonts w:ascii="黑体" w:hAnsi="黑体" w:eastAsia="黑体"/>
          <w:bCs/>
          <w:color w:val="000000"/>
          <w:sz w:val="32"/>
          <w:szCs w:val="32"/>
          <w:highlight w:val="none"/>
        </w:rPr>
        <w:t>、其他类</w:t>
      </w:r>
      <w:r>
        <w:rPr>
          <w:rFonts w:hint="eastAsia" w:ascii="黑体" w:hAnsi="黑体" w:eastAsia="黑体"/>
          <w:bCs/>
          <w:color w:val="000000"/>
          <w:sz w:val="32"/>
          <w:szCs w:val="32"/>
          <w:highlight w:val="none"/>
        </w:rPr>
        <w:t>（</w:t>
      </w:r>
      <w:r>
        <w:rPr>
          <w:rFonts w:hint="eastAsia" w:ascii="黑体" w:hAnsi="黑体" w:eastAsia="黑体"/>
          <w:bCs/>
          <w:color w:val="000000"/>
          <w:sz w:val="32"/>
          <w:szCs w:val="32"/>
          <w:highlight w:val="none"/>
          <w:lang w:val="en-US" w:eastAsia="zh-CN"/>
        </w:rPr>
        <w:t>21</w:t>
      </w:r>
      <w:r>
        <w:rPr>
          <w:rFonts w:hint="eastAsia" w:ascii="黑体" w:hAnsi="黑体" w:eastAsia="黑体"/>
          <w:bCs/>
          <w:color w:val="000000"/>
          <w:sz w:val="32"/>
          <w:szCs w:val="32"/>
          <w:highlight w:val="none"/>
        </w:rPr>
        <w:t>项）</w:t>
      </w:r>
    </w:p>
    <w:tbl>
      <w:tblPr>
        <w:tblStyle w:val="4"/>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670"/>
        <w:gridCol w:w="735"/>
        <w:gridCol w:w="946"/>
        <w:gridCol w:w="9119"/>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jc w:val="center"/>
        </w:trPr>
        <w:tc>
          <w:tcPr>
            <w:tcW w:w="425"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序号</w:t>
            </w:r>
          </w:p>
        </w:tc>
        <w:tc>
          <w:tcPr>
            <w:tcW w:w="1670"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职权名称</w:t>
            </w:r>
          </w:p>
        </w:tc>
        <w:tc>
          <w:tcPr>
            <w:tcW w:w="735"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基本编码</w:t>
            </w:r>
          </w:p>
        </w:tc>
        <w:tc>
          <w:tcPr>
            <w:tcW w:w="946"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实施</w:t>
            </w:r>
          </w:p>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单位</w:t>
            </w:r>
          </w:p>
        </w:tc>
        <w:tc>
          <w:tcPr>
            <w:tcW w:w="9119" w:type="dxa"/>
            <w:vAlign w:val="center"/>
          </w:tcPr>
          <w:p>
            <w:pPr>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职权依据</w:t>
            </w:r>
          </w:p>
        </w:tc>
        <w:tc>
          <w:tcPr>
            <w:tcW w:w="1053" w:type="dxa"/>
            <w:vAlign w:val="center"/>
          </w:tcPr>
          <w:p>
            <w:pPr>
              <w:spacing w:line="240" w:lineRule="exact"/>
              <w:jc w:val="center"/>
              <w:rPr>
                <w:rFonts w:hint="eastAsia" w:ascii="方正黑体简体" w:hAnsi="方正黑体简体" w:eastAsia="方正黑体简体" w:cs="方正黑体简体"/>
                <w:bCs/>
                <w:color w:val="000000"/>
                <w:sz w:val="20"/>
                <w:szCs w:val="20"/>
                <w:highlight w:val="none"/>
              </w:rPr>
            </w:pPr>
            <w:r>
              <w:rPr>
                <w:rFonts w:hint="eastAsia" w:ascii="方正黑体简体" w:hAnsi="方正黑体简体" w:eastAsia="方正黑体简体" w:cs="方正黑体简体"/>
                <w:bCs/>
                <w:color w:val="00000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最低生活保障待遇初审</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10XZ005000</w:t>
            </w:r>
          </w:p>
        </w:tc>
        <w:tc>
          <w:tcPr>
            <w:tcW w:w="946" w:type="dxa"/>
            <w:vAlign w:val="center"/>
          </w:tcPr>
          <w:p>
            <w:pPr>
              <w:spacing w:line="300" w:lineRule="exact"/>
              <w:jc w:val="center"/>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【行政法规】《社会救助暂行办法》（2019年国务院令第709号修正）</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第十一条 申请最低生活保障，按照下列程序办理：</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（一）由共同生活的家庭成员向户籍所在地的乡镇人民政府、街道办事处提出书面申请；家庭成员申请有困难的，可以委托村民委员会、居民委员会代为提出申请。</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（三）县级人民政府民政部门经审查，对符合条件的申请予以批准，并在申请人所在村、社区公布；对不符合条件的申请不予批准，并书面向申请人说明理由。</w:t>
            </w:r>
          </w:p>
        </w:tc>
        <w:tc>
          <w:tcPr>
            <w:tcW w:w="1053" w:type="dxa"/>
            <w:vAlign w:val="center"/>
          </w:tcPr>
          <w:p>
            <w:pPr>
              <w:spacing w:line="300" w:lineRule="exac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特困人员供养待遇初审</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10XZ006000</w:t>
            </w:r>
          </w:p>
        </w:tc>
        <w:tc>
          <w:tcPr>
            <w:tcW w:w="946" w:type="dxa"/>
            <w:vAlign w:val="center"/>
          </w:tcPr>
          <w:p>
            <w:pPr>
              <w:spacing w:line="300" w:lineRule="exact"/>
              <w:jc w:val="center"/>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【行政法规】《社会救助暂行办法》（2019年国务院令第709号修正）</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第十一条 申请最低生活保障，按照下列程序办理：</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（一）由共同生活的家庭成员向户籍所在地的乡镇人民政府、街道办事处提出书面申请；家庭成员申请有困难的，可以委托村民委员会、居民委员会代为提出申请。</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（三）县级人民政府民政部门经审查，对符合条件的申请予以批准，并在申请人所在村、社区公布；对不符合条件的申请不予批准，并书面向申请人说明理由。</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第十六条 申请特困人员供养，由本人向户籍所在地的乡镇人民政府、街道办事处提出书面申请；本人申请有困难的，可以委托村民委员会、居民委员会代为提出申请。</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特困人员供养的审批程序适用本办法第十一条规定。</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第十七条 乡镇人民政府、街道办事处应当及时了解掌握居民的生活情况，发现符合特困供养条件的人员，应当主动为其依法办理供养。</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tc>
        <w:tc>
          <w:tcPr>
            <w:tcW w:w="1053" w:type="dxa"/>
            <w:vAlign w:val="center"/>
          </w:tcPr>
          <w:p>
            <w:pPr>
              <w:spacing w:line="300" w:lineRule="exac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临时救助资金的给付（审核和委托审批）</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0508003000</w:t>
            </w:r>
          </w:p>
        </w:tc>
        <w:tc>
          <w:tcPr>
            <w:tcW w:w="946" w:type="dxa"/>
            <w:vAlign w:val="center"/>
          </w:tcPr>
          <w:p>
            <w:pPr>
              <w:spacing w:line="300" w:lineRule="exact"/>
              <w:jc w:val="center"/>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【行政法规】《社会救助暂行办法》（2019年国务院令第709号修正）</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ind w:firstLine="400" w:firstLineChars="200"/>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053" w:type="dxa"/>
            <w:vAlign w:val="center"/>
          </w:tcPr>
          <w:p>
            <w:pPr>
              <w:spacing w:line="300" w:lineRule="exac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color w:val="000000"/>
                <w:sz w:val="20"/>
                <w:szCs w:val="20"/>
                <w:highlight w:val="none"/>
              </w:rPr>
            </w:pPr>
            <w:r>
              <w:rPr>
                <w:rFonts w:hint="eastAsia" w:ascii="宋体" w:hAnsi="宋体" w:cs="宋体"/>
                <w:color w:val="000000"/>
                <w:sz w:val="20"/>
                <w:szCs w:val="20"/>
                <w:highlight w:val="none"/>
              </w:rPr>
              <w:t>低收入老年人高龄津贴资金的给付（高龄老人津贴审核）</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0508002000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ind w:firstLine="400" w:firstLineChars="200"/>
              <w:rPr>
                <w:rFonts w:hint="eastAsia" w:ascii="宋体" w:hAnsi="宋体" w:cs="宋体"/>
                <w:bCs/>
                <w:color w:val="000000"/>
                <w:sz w:val="20"/>
                <w:szCs w:val="20"/>
                <w:highlight w:val="none"/>
              </w:rPr>
            </w:pPr>
            <w:r>
              <w:rPr>
                <w:rFonts w:hint="eastAsia" w:ascii="宋体" w:hAnsi="宋体" w:cs="宋体"/>
                <w:color w:val="000000"/>
                <w:sz w:val="20"/>
                <w:szCs w:val="20"/>
                <w:highlight w:val="none"/>
              </w:rPr>
              <w:t>【法律】《</w:t>
            </w:r>
            <w:r>
              <w:rPr>
                <w:rFonts w:hint="eastAsia" w:ascii="宋体" w:hAnsi="宋体" w:cs="宋体"/>
                <w:bCs/>
                <w:color w:val="000000"/>
                <w:sz w:val="20"/>
                <w:szCs w:val="20"/>
                <w:highlight w:val="none"/>
              </w:rPr>
              <w:t>中华人民共和国老年人权益保障法》（2018年修正）</w:t>
            </w:r>
          </w:p>
          <w:p>
            <w:pPr>
              <w:ind w:firstLine="400" w:firstLineChars="200"/>
              <w:rPr>
                <w:rFonts w:hint="eastAsia" w:ascii="宋体" w:hAnsi="宋体" w:cs="宋体"/>
                <w:bCs/>
                <w:color w:val="000000"/>
                <w:sz w:val="20"/>
                <w:szCs w:val="20"/>
                <w:highlight w:val="none"/>
              </w:rPr>
            </w:pPr>
            <w:r>
              <w:rPr>
                <w:rFonts w:hint="eastAsia" w:ascii="宋体" w:hAnsi="宋体" w:cs="宋体"/>
                <w:bCs/>
                <w:color w:val="000000"/>
                <w:sz w:val="20"/>
                <w:szCs w:val="20"/>
                <w:highlight w:val="none"/>
              </w:rPr>
              <w:t>第三十三条第二款 国家鼓励地方建立八十周岁以上低收入老年人高龄津贴制度。</w:t>
            </w:r>
          </w:p>
          <w:p>
            <w:pPr>
              <w:ind w:firstLine="400" w:firstLineChars="200"/>
              <w:rPr>
                <w:rFonts w:hint="eastAsia" w:ascii="宋体" w:hAnsi="宋体" w:cs="宋体"/>
                <w:bCs/>
                <w:color w:val="000000"/>
                <w:sz w:val="20"/>
                <w:szCs w:val="20"/>
                <w:highlight w:val="none"/>
              </w:rPr>
            </w:pPr>
            <w:r>
              <w:rPr>
                <w:rFonts w:hint="eastAsia" w:ascii="宋体" w:hAnsi="宋体" w:cs="宋体"/>
                <w:bCs/>
                <w:color w:val="000000"/>
                <w:sz w:val="20"/>
                <w:szCs w:val="20"/>
                <w:highlight w:val="none"/>
              </w:rPr>
              <w:t>【规范性文件】</w:t>
            </w:r>
            <w:r>
              <w:rPr>
                <w:rFonts w:hint="eastAsia" w:ascii="宋体" w:hAnsi="宋体" w:cs="宋体"/>
                <w:bCs/>
                <w:color w:val="000000"/>
                <w:sz w:val="20"/>
                <w:szCs w:val="20"/>
                <w:highlight w:val="none"/>
                <w:lang w:val="en-US" w:eastAsia="zh-CN"/>
              </w:rPr>
              <w:t xml:space="preserve"> </w:t>
            </w:r>
            <w:r>
              <w:rPr>
                <w:rFonts w:hint="eastAsia" w:ascii="宋体" w:hAnsi="宋体" w:cs="宋体"/>
                <w:bCs/>
                <w:color w:val="000000"/>
                <w:sz w:val="20"/>
                <w:szCs w:val="20"/>
                <w:highlight w:val="none"/>
              </w:rPr>
              <w:t>《宁夏回族自治区人民政府关于建立80岁以上低收入老年人基本生活津贴制度的通知》（宁政办发〔2009〕135号）</w:t>
            </w:r>
          </w:p>
          <w:p>
            <w:pPr>
              <w:ind w:firstLine="400" w:firstLineChars="200"/>
              <w:rPr>
                <w:rFonts w:hint="eastAsia" w:ascii="宋体" w:hAnsi="宋体" w:cs="宋体"/>
                <w:bCs/>
                <w:color w:val="000000"/>
                <w:sz w:val="20"/>
                <w:szCs w:val="20"/>
                <w:highlight w:val="none"/>
              </w:rPr>
            </w:pPr>
            <w:r>
              <w:rPr>
                <w:rFonts w:hint="eastAsia" w:ascii="宋体" w:hAnsi="宋体" w:cs="宋体"/>
                <w:bCs/>
                <w:color w:val="000000"/>
                <w:sz w:val="20"/>
                <w:szCs w:val="20"/>
                <w:highlight w:val="none"/>
              </w:rPr>
              <w:t>四、高龄老人津贴的发放程序</w:t>
            </w:r>
          </w:p>
          <w:p>
            <w:pPr>
              <w:ind w:firstLine="400" w:firstLineChars="200"/>
              <w:rPr>
                <w:rFonts w:hint="eastAsia" w:ascii="宋体" w:hAnsi="宋体" w:cs="宋体"/>
                <w:bCs/>
                <w:color w:val="000000"/>
                <w:sz w:val="20"/>
                <w:szCs w:val="20"/>
                <w:highlight w:val="none"/>
              </w:rPr>
            </w:pPr>
            <w:r>
              <w:rPr>
                <w:rFonts w:hint="eastAsia" w:ascii="宋体" w:hAnsi="宋体" w:cs="宋体"/>
                <w:bCs/>
                <w:color w:val="000000"/>
                <w:sz w:val="20"/>
                <w:szCs w:val="20"/>
                <w:highlight w:val="none"/>
              </w:rPr>
              <w:t>高龄老人津贴发放实行属地化管理，参照《宁夏回族自治区城市居民最低生活保障实施办法》和《宁夏回族自治区农村村民最低生活保障办法》的有关规定，严格按照个人申请、居（村）委会调查核实、街道办事处（乡镇）审核、县（市、区）民政局审批的程序，实行三级审批、三榜公示，接受群众监督，做到公开、公正、透明。</w:t>
            </w:r>
          </w:p>
          <w:p>
            <w:pPr>
              <w:ind w:firstLine="400" w:firstLineChars="200"/>
              <w:rPr>
                <w:rFonts w:hint="eastAsia" w:ascii="宋体" w:hAnsi="宋体" w:cs="宋体"/>
                <w:bCs/>
                <w:color w:val="000000"/>
                <w:sz w:val="20"/>
                <w:szCs w:val="20"/>
                <w:highlight w:val="none"/>
              </w:rPr>
            </w:pPr>
            <w:r>
              <w:rPr>
                <w:rFonts w:hint="eastAsia" w:ascii="宋体" w:hAnsi="宋体" w:cs="宋体"/>
                <w:bCs/>
                <w:color w:val="000000"/>
                <w:sz w:val="20"/>
                <w:szCs w:val="20"/>
                <w:highlight w:val="none"/>
              </w:rPr>
              <w:t>高龄老人津贴一律采用银行卡形式发放。各地要根据老年人口和收入变动情况，实行动态管理，按照程序及时办理审批、增发、停发手续，确保按时足额发放。</w:t>
            </w:r>
          </w:p>
        </w:tc>
        <w:tc>
          <w:tcPr>
            <w:tcW w:w="1053" w:type="dxa"/>
            <w:vAlign w:val="center"/>
          </w:tcPr>
          <w:p>
            <w:pPr>
              <w:spacing w:line="300" w:lineRule="exac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color w:val="000000"/>
                <w:sz w:val="20"/>
                <w:szCs w:val="20"/>
                <w:highlight w:val="none"/>
              </w:rPr>
            </w:pPr>
            <w:r>
              <w:rPr>
                <w:rFonts w:hint="eastAsia" w:ascii="宋体" w:hAnsi="宋体" w:cs="宋体"/>
                <w:color w:val="000000"/>
                <w:sz w:val="20"/>
                <w:szCs w:val="20"/>
                <w:highlight w:val="none"/>
              </w:rPr>
              <w:t>困难残疾人和重度残疾人补贴的初审</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10JD001000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【法律】《中华人民共和国残疾人保障法》（2018年修正）</w:t>
            </w:r>
          </w:p>
          <w:p>
            <w:pPr>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第四十八条第一款 各级人民政府对生活确有困难的残疾人，通过多种渠道给予生活、教育、住房和其他社会救助。</w:t>
            </w:r>
          </w:p>
          <w:p>
            <w:pPr>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第三款 各级人民政府对贫困残疾人的基本医疗、康复服务、必要的辅助器具的配置和更换，应当按照规定给予救助。</w:t>
            </w:r>
          </w:p>
          <w:p>
            <w:pPr>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第四款 对生活不能自理的残疾人，地方各级人民政府应当根据情况给予护理补贴。</w:t>
            </w:r>
          </w:p>
          <w:p>
            <w:pPr>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【规范性文件】《</w:t>
            </w:r>
            <w:r>
              <w:rPr>
                <w:rFonts w:hint="eastAsia" w:ascii="宋体" w:hAnsi="宋体" w:cs="宋体"/>
                <w:bCs/>
                <w:color w:val="000000"/>
                <w:sz w:val="20"/>
                <w:szCs w:val="20"/>
                <w:highlight w:val="none"/>
              </w:rPr>
              <w:t>国务院关于全面建立困难残疾人生活补贴和重度残疾人护理补贴制度的意见》（国发〔2015〕52号）</w:t>
            </w:r>
          </w:p>
          <w:p>
            <w:pPr>
              <w:ind w:firstLine="400" w:firstLineChars="200"/>
              <w:rPr>
                <w:rFonts w:hint="eastAsia" w:ascii="宋体" w:hAnsi="宋体" w:cs="宋体"/>
                <w:color w:val="000000"/>
                <w:sz w:val="20"/>
                <w:szCs w:val="20"/>
                <w:highlight w:val="none"/>
              </w:rPr>
            </w:pPr>
            <w:r>
              <w:rPr>
                <w:rFonts w:hint="eastAsia" w:ascii="宋体" w:hAnsi="宋体" w:cs="宋体"/>
                <w:bCs/>
                <w:color w:val="000000"/>
                <w:sz w:val="20"/>
                <w:szCs w:val="20"/>
                <w:highlight w:val="none"/>
              </w:rPr>
              <w:t>三、申领程序和管理办法</w:t>
            </w:r>
          </w:p>
          <w:p>
            <w:pPr>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（一）自愿申请。残疾人两项补贴由残疾人向户籍所在地街道办事处或乡镇政府受理窗口提交书面申请。……</w:t>
            </w:r>
          </w:p>
          <w:p>
            <w:pPr>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（二）逐级审核。街道办事处或乡镇政府依托社会救助、社会服务“一门受理、协同办理”机制，受理残疾人两项补贴申请并进行初审。初审合格材料报送县级残联进行相关审核。……</w:t>
            </w:r>
          </w:p>
          <w:p>
            <w:pPr>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【规范性文件】《宁夏回族自治区困难残疾人生活补贴办法》（宁政办发〔2017〕46号修订）</w:t>
            </w:r>
          </w:p>
          <w:p>
            <w:pPr>
              <w:ind w:firstLine="400" w:firstLineChars="200"/>
              <w:rPr>
                <w:rFonts w:hint="eastAsia" w:ascii="宋体" w:hAnsi="宋体" w:cs="宋体"/>
                <w:bCs/>
                <w:color w:val="000000"/>
                <w:sz w:val="20"/>
                <w:szCs w:val="20"/>
                <w:highlight w:val="none"/>
              </w:rPr>
            </w:pPr>
            <w:r>
              <w:rPr>
                <w:rFonts w:hint="eastAsia" w:ascii="宋体" w:hAnsi="宋体" w:cs="宋体"/>
                <w:bCs/>
                <w:color w:val="000000"/>
                <w:sz w:val="20"/>
                <w:szCs w:val="20"/>
                <w:highlight w:val="none"/>
              </w:rPr>
              <w:t>第八条 乡镇人民政府或街道办事处依托社会救助、社会服务“一门受理、协同办理”机制，受理残疾人困难生活补贴申请，并在10个工作日内完成初审，将初审结果公示5个工作日。公示无异议后，在《宁夏困难残疾人生活补贴申请审批表》上签署意见，连同申请人的申请书、户口簿、第二代残疾人证复印件和填写盖章的《宁夏困难残疾人生活补贴登记表》报县级残联审核。</w:t>
            </w:r>
          </w:p>
          <w:p>
            <w:pPr>
              <w:ind w:firstLine="400" w:firstLineChars="200"/>
              <w:rPr>
                <w:rFonts w:hint="eastAsia" w:ascii="宋体" w:hAnsi="宋体" w:cs="宋体"/>
                <w:color w:val="000000"/>
                <w:sz w:val="20"/>
                <w:szCs w:val="20"/>
                <w:highlight w:val="none"/>
              </w:rPr>
            </w:pPr>
            <w:r>
              <w:rPr>
                <w:rFonts w:hint="eastAsia" w:ascii="宋体" w:hAnsi="宋体" w:cs="宋体"/>
                <w:color w:val="000000"/>
                <w:sz w:val="20"/>
                <w:szCs w:val="20"/>
                <w:highlight w:val="none"/>
              </w:rPr>
              <w:t>【规范性文件】《宁夏回族自治区重度残疾人护理补贴办法》（宁政办发〔2017〕46号修订）</w:t>
            </w:r>
          </w:p>
          <w:p>
            <w:pPr>
              <w:pStyle w:val="3"/>
              <w:widowControl/>
              <w:ind w:firstLine="400" w:firstLineChars="200"/>
              <w:rPr>
                <w:rFonts w:hint="eastAsia" w:ascii="宋体" w:hAnsi="宋体" w:cs="宋体"/>
                <w:color w:val="000000"/>
                <w:sz w:val="20"/>
                <w:szCs w:val="20"/>
                <w:highlight w:val="none"/>
              </w:rPr>
            </w:pPr>
            <w:r>
              <w:rPr>
                <w:rFonts w:hint="eastAsia" w:ascii="宋体" w:hAnsi="宋体" w:cs="宋体"/>
                <w:bCs/>
                <w:color w:val="000000"/>
                <w:sz w:val="20"/>
                <w:szCs w:val="20"/>
                <w:highlight w:val="none"/>
              </w:rPr>
              <w:t>第六条 乡镇人民政府或街道办事处依托社会救助、社会服务“一门受理、协同办理”机制，受理重度残疾人护理补贴申请，并在10个工作日内完成初审，将初审结果公示5个工作日。公示无异议后，在《宁夏重度残疾人护理补贴申请审批表》上签署意见，连同申请人的申请书、户口簿、第二代残疾人证复印件和填写盖章的《宁夏重度残疾人护理补贴登记表》报县级残联审核。</w:t>
            </w:r>
          </w:p>
        </w:tc>
        <w:tc>
          <w:tcPr>
            <w:tcW w:w="1053" w:type="dxa"/>
            <w:vAlign w:val="center"/>
          </w:tcPr>
          <w:p>
            <w:pPr>
              <w:spacing w:line="300" w:lineRule="exact"/>
              <w:rPr>
                <w:rFonts w:hint="eastAsia"/>
              </w:rPr>
            </w:pPr>
          </w:p>
          <w:p>
            <w:pPr>
              <w:spacing w:line="300" w:lineRule="exact"/>
              <w:rPr>
                <w:rFonts w:hint="eastAsia"/>
              </w:rPr>
            </w:pPr>
            <w:r>
              <w:rPr>
                <w:rFonts w:hint="eastAsia" w:ascii="宋体" w:hAnsi="宋体" w:cs="宋体"/>
                <w:color w:val="00000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刑满释放人员的安置帮教</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10XZ010000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【法律】《中华人民共和国监狱法》（2012年）</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第三十七条 对刑满释放人员，当地人民政府帮助其安置生活。</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刑满释放人员丧失劳动能力又无法定赡养人、扶养人和基本生活来源的，由当地人民政府予以救济。</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【规范性文件】《中央社会治安综合治理委员会关于进一步加强刑满释放解除劳教人员安置帮教工作的意见》</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五、加强组织领导，落实刑释解教人员安置帮教工作各项措施</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(19)强化安置帮教基层基础工作。乡镇(街道)党政组织要承担起组织落实刑释解教人员安置帮教工作的责任。乡镇(街道)综治委(办)要协助党委、政府，通过综治工作中心平台和工作机制，加大对刑释解教人员安置帮教工作的指导协调力度。……</w:t>
            </w:r>
          </w:p>
        </w:tc>
        <w:tc>
          <w:tcPr>
            <w:tcW w:w="1053" w:type="dxa"/>
            <w:vAlign w:val="center"/>
          </w:tcPr>
          <w:p>
            <w:pPr>
              <w:spacing w:line="300" w:lineRule="exact"/>
              <w:rPr>
                <w:rFonts w:hint="eastAsia" w:ascii="宋体" w:hAnsi="宋体" w:eastAsia="宋体" w:cs="宋体"/>
                <w:bCs/>
                <w:color w:val="000000"/>
                <w:kern w:val="0"/>
                <w:sz w:val="20"/>
                <w:szCs w:val="20"/>
                <w:highlight w:val="none"/>
                <w:lang w:val="en-US" w:eastAsia="zh-CN"/>
              </w:rPr>
            </w:pPr>
            <w:r>
              <w:rPr>
                <w:rFonts w:hint="eastAsia" w:ascii="宋体" w:hAnsi="宋体" w:cs="宋体"/>
                <w:bCs/>
                <w:color w:val="000000"/>
                <w:kern w:val="0"/>
                <w:sz w:val="20"/>
                <w:szCs w:val="20"/>
                <w:highlight w:val="none"/>
                <w:lang w:val="en-US" w:eastAsia="zh-CN"/>
              </w:rPr>
              <w:t>综治中心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就业援助</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10JD002000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【部门规章】《就业服务与就业管理规定》（2018年人社部令第38号修订）</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第四十一条 就业困难人员和零就业家庭可以向所在地街道、社区公共就业服务机构申请就业援助。经街道、社区公共就业服务机构确认属实的，纳入就业援助范围。</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第四十四条 街道、社区公共就业服务机构应当对辖区内就业援助对象进行登记，建立专门台账，实行就业援助对象动态管理和援助责任制度，提供及时、有效的就业援助。</w:t>
            </w:r>
          </w:p>
        </w:tc>
        <w:tc>
          <w:tcPr>
            <w:tcW w:w="1053" w:type="dxa"/>
            <w:vAlign w:val="center"/>
          </w:tcPr>
          <w:p>
            <w:pPr>
              <w:spacing w:line="300" w:lineRule="exac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pStyle w:val="6"/>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选举产生业主委员会备案</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10XZ015000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【行政法规】《物业管理条例》（2018年国务院令第698号修正）</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第十六条第一款 业主委员会应当自选举产生之日起30日内，向物业所在地的区、县人民政府房地产行政主管部门和街道办事处、乡镇人民政府备案。</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【地方性法规】《宁夏回族自治区物业管理条例》（2010年）</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第十七条 业主委员会应当自选举产生之日起二十日内，持以下材料向物业所在地街道办事处或者乡（镇）人民政府备案：</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（一）业主大会设立和业主委员会选举情况的报告；</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（二）业主大会决议；</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（三）管理规约、业主大会议事规则；</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（四）业主委员会委员名单。</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街道办事处或者乡镇人民政府应当在五日内将备案证明复印件分送县（市、区）房地产行政主管部门和物业所在地公安派出所、社区居民委员会。前款（二）、（三）、（四）项内容发生变更时，应当及时办理备案变更手续。</w:t>
            </w:r>
          </w:p>
        </w:tc>
        <w:tc>
          <w:tcPr>
            <w:tcW w:w="1053" w:type="dxa"/>
            <w:vAlign w:val="center"/>
          </w:tcPr>
          <w:p>
            <w:pPr>
              <w:spacing w:line="300" w:lineRule="exact"/>
              <w:rPr>
                <w:rFonts w:hint="eastAsia" w:ascii="宋体" w:hAnsi="宋体" w:eastAsia="宋体" w:cs="宋体"/>
                <w:bCs/>
                <w:color w:val="000000"/>
                <w:kern w:val="0"/>
                <w:sz w:val="20"/>
                <w:szCs w:val="20"/>
                <w:highlight w:val="none"/>
                <w:lang w:val="en-US" w:eastAsia="zh-CN"/>
              </w:rPr>
            </w:pPr>
            <w:r>
              <w:rPr>
                <w:rFonts w:hint="eastAsia" w:ascii="宋体" w:hAnsi="宋体" w:cs="宋体"/>
                <w:bCs/>
                <w:color w:val="000000"/>
                <w:kern w:val="0"/>
                <w:sz w:val="20"/>
                <w:szCs w:val="20"/>
                <w:highlight w:val="none"/>
                <w:lang w:val="en-US" w:eastAsia="zh-CN"/>
              </w:rPr>
              <w:t>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25" w:type="dxa"/>
            <w:vAlign w:val="center"/>
          </w:tcPr>
          <w:p>
            <w:pPr>
              <w:pStyle w:val="6"/>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sz w:val="20"/>
                <w:szCs w:val="20"/>
                <w:highlight w:val="none"/>
              </w:rPr>
              <w:t>对业主大会、业主委员会作出违反法律、法规决定的责令限期改正或者撤销</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10XZ016000</w:t>
            </w:r>
          </w:p>
        </w:tc>
        <w:tc>
          <w:tcPr>
            <w:tcW w:w="946" w:type="dxa"/>
            <w:vAlign w:val="center"/>
          </w:tcPr>
          <w:p>
            <w:pPr>
              <w:spacing w:line="300" w:lineRule="exact"/>
              <w:jc w:val="center"/>
              <w:rPr>
                <w:rFonts w:hint="eastAsia" w:ascii="宋体" w:hAnsi="宋体" w:cs="宋体"/>
                <w:bCs/>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sz w:val="20"/>
                <w:szCs w:val="20"/>
                <w:highlight w:val="none"/>
              </w:rPr>
            </w:pPr>
            <w:r>
              <w:rPr>
                <w:rFonts w:hint="eastAsia" w:ascii="宋体" w:hAnsi="宋体" w:cs="宋体"/>
                <w:bCs/>
                <w:color w:val="000000"/>
                <w:sz w:val="20"/>
                <w:szCs w:val="20"/>
                <w:highlight w:val="none"/>
              </w:rPr>
              <w:t>【行政法规】《物业管理条例》（2018年修正）</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sz w:val="20"/>
                <w:szCs w:val="20"/>
                <w:highlight w:val="none"/>
              </w:rPr>
            </w:pPr>
            <w:r>
              <w:rPr>
                <w:rFonts w:hint="eastAsia" w:ascii="宋体" w:hAnsi="宋体" w:cs="宋体"/>
                <w:bCs/>
                <w:color w:val="000000"/>
                <w:sz w:val="20"/>
                <w:szCs w:val="20"/>
                <w:highlight w:val="none"/>
              </w:rPr>
              <w:t>第十九条 业主大会、业主委员会应当依法履行职责，不得作出与物业管理无关的决定，不得从事与物业管理无关的活动。</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sz w:val="20"/>
                <w:szCs w:val="20"/>
                <w:highlight w:val="none"/>
              </w:rPr>
            </w:pPr>
            <w:r>
              <w:rPr>
                <w:rFonts w:hint="eastAsia" w:ascii="宋体" w:hAnsi="宋体" w:cs="宋体"/>
                <w:bCs/>
                <w:color w:val="000000"/>
                <w:sz w:val="20"/>
                <w:szCs w:val="20"/>
                <w:highlight w:val="none"/>
              </w:rPr>
              <w:t>业主大会、业主委员会作出的决定违反法律、法规的，物业所在地的区、县人民政府房地产行政主管部门或者街道办事处、乡镇人民政府，应当责令限期改正或者撤销其决定，并通告全体业主。</w:t>
            </w:r>
          </w:p>
        </w:tc>
        <w:tc>
          <w:tcPr>
            <w:tcW w:w="1053" w:type="dxa"/>
            <w:vAlign w:val="center"/>
          </w:tcPr>
          <w:p>
            <w:pPr>
              <w:spacing w:line="300" w:lineRule="exact"/>
              <w:rPr>
                <w:rFonts w:hint="eastAsia" w:ascii="宋体" w:hAnsi="宋体" w:cs="宋体"/>
                <w:color w:val="000000"/>
                <w:sz w:val="20"/>
                <w:szCs w:val="20"/>
                <w:highlight w:val="none"/>
              </w:rPr>
            </w:pPr>
            <w:r>
              <w:rPr>
                <w:rFonts w:hint="eastAsia" w:ascii="宋体" w:hAnsi="宋体" w:cs="宋体"/>
                <w:bCs/>
                <w:color w:val="000000"/>
                <w:kern w:val="0"/>
                <w:sz w:val="20"/>
                <w:szCs w:val="20"/>
                <w:highlight w:val="none"/>
                <w:lang w:val="en-US" w:eastAsia="zh-CN"/>
              </w:rPr>
              <w:t>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pStyle w:val="6"/>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城镇家庭住房救助的受理</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10XZ017000</w:t>
            </w:r>
          </w:p>
        </w:tc>
        <w:tc>
          <w:tcPr>
            <w:tcW w:w="946" w:type="dxa"/>
            <w:vAlign w:val="center"/>
          </w:tcPr>
          <w:p>
            <w:pPr>
              <w:spacing w:line="300" w:lineRule="exact"/>
              <w:jc w:val="center"/>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【行政法规】《社会救助暂行办法》（2019年国务院令第709号修正）</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第四十条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农村家庭申请住房救助的，按照县级以上人民政府有关规定执行。</w:t>
            </w:r>
          </w:p>
        </w:tc>
        <w:tc>
          <w:tcPr>
            <w:tcW w:w="1053" w:type="dxa"/>
            <w:vAlign w:val="center"/>
          </w:tcPr>
          <w:p>
            <w:pPr>
              <w:spacing w:line="300" w:lineRule="exact"/>
              <w:rPr>
                <w:rFonts w:hint="eastAsia" w:ascii="宋体" w:hAnsi="宋体" w:eastAsia="宋体" w:cs="宋体"/>
                <w:bCs/>
                <w:color w:val="000000"/>
                <w:kern w:val="0"/>
                <w:sz w:val="20"/>
                <w:szCs w:val="20"/>
                <w:highlight w:val="none"/>
                <w:lang w:val="en-US" w:eastAsia="zh-CN"/>
              </w:rPr>
            </w:pPr>
            <w:r>
              <w:rPr>
                <w:rFonts w:hint="eastAsia" w:ascii="宋体" w:hAnsi="宋体" w:cs="宋体"/>
                <w:bCs/>
                <w:color w:val="000000"/>
                <w:kern w:val="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dxa"/>
            <w:vAlign w:val="center"/>
          </w:tcPr>
          <w:p>
            <w:pPr>
              <w:pStyle w:val="6"/>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申请廉租住房保障的初审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10XZ018000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【部门规章】《廉租住房保障办法》（2007年建设部、国家发展和改革委员会、监察部、民政部、财政部、国土资源部、中国人民银行、国家税务总局、国家统计局令第162号）</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第十七条 申请廉租住房保障，按照下列程序办理：</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（一）</w:t>
            </w:r>
            <w:r>
              <w:rPr>
                <w:rFonts w:hint="eastAsia" w:ascii="宋体" w:hAnsi="宋体" w:cs="宋体"/>
                <w:bCs/>
                <w:color w:val="000000"/>
                <w:spacing w:val="-6"/>
                <w:kern w:val="0"/>
                <w:sz w:val="20"/>
                <w:szCs w:val="20"/>
                <w:highlight w:val="none"/>
              </w:rPr>
              <w:t>申请廉租住房保障的家庭，应当由户主向户口所在地街道办事处或者镇人民政府提出书面申请；</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二）街道办事处或者镇人民政府应当自受理申请之日起30日内，就申请人的家庭收入、家庭住房状况是否符合规定条件进行审核，提出初审意见并张榜公布，将初审意见和申请材料一并报送市（区）、县人民政府 建设（住房保障）主管部门；</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（三）建设（住房保障）主管部门应当自收到申请材料之日起15日内，就申请人的家庭住房状况是否符合规定条件提出审核意见，并将符合条件的申请人的申请材料转同级民政部门；</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（四）民政部门应当自收到申请材料之日起15日内，就申请人的家庭收入是否符合规定条件提出审核意见，并反馈同级建设（住房保障）主管部门；</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五）经审核，家庭收入、家庭住房状况符合规定条件的，由建设（住房保障）主管部门予以公示，公示期限为15日；对经公示无异议或者异议不成立的，作为廉租住房保障对象予以登记，书面通知申请人，并向社会公开登记结果。</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经审核，不符合规定条件的，建设（住房保障）主管部门应当书面通知申请人，说明理由。申请人对审核结果有异议的，可以向建设（住房保障）主管部门申诉。</w:t>
            </w:r>
          </w:p>
          <w:p>
            <w:pPr>
              <w:keepNext w:val="0"/>
              <w:keepLines w:val="0"/>
              <w:pageBreakBefore w:val="0"/>
              <w:widowControl w:val="0"/>
              <w:kinsoku/>
              <w:wordWrap/>
              <w:overflowPunct/>
              <w:topLinePunct w:val="0"/>
              <w:autoSpaceDE/>
              <w:autoSpaceDN/>
              <w:bidi w:val="0"/>
              <w:adjustRightInd/>
              <w:snapToGrid/>
              <w:spacing w:line="25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1053"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6" w:hRule="atLeast"/>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再生育审批（仅生育第三个子女的审核）</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0120015000</w:t>
            </w:r>
          </w:p>
        </w:tc>
        <w:tc>
          <w:tcPr>
            <w:tcW w:w="946" w:type="dxa"/>
            <w:vAlign w:val="center"/>
          </w:tcPr>
          <w:p>
            <w:pPr>
              <w:spacing w:line="300" w:lineRule="exact"/>
              <w:jc w:val="center"/>
              <w:rPr>
                <w:rFonts w:hint="eastAsia" w:ascii="宋体" w:hAnsi="宋体" w:cs="宋体"/>
                <w:color w:val="000000"/>
                <w:kern w:val="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【法律】《中华人民共和国人口与计划生育法》（2015年修正）</w:t>
            </w:r>
          </w:p>
          <w:p>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第十八条第一款 国家提倡一对夫妻生育两个子女。</w:t>
            </w:r>
          </w:p>
          <w:p>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第二款 符合法律、法规规定条件的，可以要求安排再生育子女。……</w:t>
            </w:r>
          </w:p>
          <w:p>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【地方性法规】《宁夏回族自治区人口与计划生育条例》（2019年修正）</w:t>
            </w:r>
          </w:p>
          <w:p>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第二十三条 符合生育第三个子女条件的，夫妻双方应当持夫妻双方的身份证、户口簿、结婚证原件；再婚的、收养子女的应当加持离婚证、收养登记证原件到一方户籍地所在的乡镇（街道）卫生健康工作机构提出再生育申请。</w:t>
            </w:r>
          </w:p>
          <w:p>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乡镇（街道）卫生健康工作机构应当自接到提交的相关材料之日起十日内进行审核，报县（市、区）卫生健康行政部门审批，符合再生育条件的，办理相关手续；不符合再生育条件的，应当以书面形式告知申请人并说明理由。需要依法鉴定的，审核时间从收到鉴定结论之日起计算。婚育信息需跨省核实的，办理时限不超过二十日。</w:t>
            </w:r>
          </w:p>
          <w:p>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经批准生育第三个子女的，因户籍或者婚姻状况等发生变化不再符合再生育条件的，除已经怀孕的以外，批准生育的卫生健康行政部门应当及时撤回批准再生育决定，并书面告知理由。</w:t>
            </w:r>
          </w:p>
        </w:tc>
        <w:tc>
          <w:tcPr>
            <w:tcW w:w="1053" w:type="dxa"/>
            <w:vAlign w:val="center"/>
          </w:tcPr>
          <w:p>
            <w:pPr>
              <w:spacing w:line="300" w:lineRule="exact"/>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2" w:hRule="atLeast"/>
          <w:jc w:val="center"/>
        </w:trPr>
        <w:tc>
          <w:tcPr>
            <w:tcW w:w="425" w:type="dxa"/>
            <w:vAlign w:val="center"/>
          </w:tcPr>
          <w:p>
            <w:pPr>
              <w:pStyle w:val="6"/>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计划生育家庭特别扶助对象确认的初审</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000000"/>
                <w:kern w:val="0"/>
                <w:sz w:val="20"/>
                <w:szCs w:val="20"/>
                <w:highlight w:val="none"/>
              </w:rPr>
            </w:pPr>
            <w:r>
              <w:rPr>
                <w:rFonts w:hint="eastAsia" w:ascii="宋体" w:hAnsi="宋体" w:cs="宋体"/>
                <w:color w:val="000000"/>
                <w:sz w:val="20"/>
                <w:szCs w:val="20"/>
                <w:highlight w:val="none"/>
              </w:rPr>
              <w:t>10XZ027000</w:t>
            </w:r>
          </w:p>
        </w:tc>
        <w:tc>
          <w:tcPr>
            <w:tcW w:w="946" w:type="dxa"/>
            <w:vAlign w:val="center"/>
          </w:tcPr>
          <w:p>
            <w:pPr>
              <w:spacing w:line="300" w:lineRule="exact"/>
              <w:jc w:val="center"/>
              <w:rPr>
                <w:rFonts w:hint="eastAsia" w:ascii="宋体" w:hAnsi="宋体" w:cs="宋体"/>
                <w:color w:val="000000"/>
                <w:kern w:val="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【规范性文件】《宁夏回族自治区计划生育家庭特别扶助制度实施方案》（宁人口发〔2009〕14号）</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四、扶助对象的确认程序及档案管理</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（一）确认程序 特别扶助对象资格确认程序、各阶段确认时间以及整个工作流程和农村部分计划生育家庭奖励扶助制度保持一致。1、调查摸底和本人提出申请阶段。符合条件的夫妻应在女方年龄达到49周岁的前一年向户籍所在地乡镇人民政府（街道办事处）提出申请，填写《宁夏计划生育家庭特别扶助对象申报表》（以下简称《申报表》），并提交相关证明材料。相关证明材料包括：《申报表》、户口簿、身份证、结婚证、独生子女父母光荣证、收养证明、子女伤病残证（需提供《中华人民共和国残疾人证》，等级三级以上）或死亡证明等相关材料的原件及复印件。2、村（居）民委员会评议并张榜公示。3、乡镇人民政府、街道办事处初审并张榜公示。4、县（市、区）级审核确认公示阶段。5、市级人口计生部门按不低于20%的比例，进行质量抽查、备案，上报自治区人口计生行政部门。6、自治区人口计生行政部门备案、核查。相关申报表格，按照自治区人口计生委转发《〈全国计划生育家庭特别扶助制度信息管理规范（试行）的通知〉的通知》（宁人口办发〔2008〕63号）要求填报。</w:t>
            </w:r>
          </w:p>
        </w:tc>
        <w:tc>
          <w:tcPr>
            <w:tcW w:w="1053"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pStyle w:val="6"/>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rPr>
              <w:t>新生儿在医疗卫生机构以外地点死亡的核查</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10XZ028000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【部门规章】《禁止非医学需要的胎儿性别鉴定和选择性别人工终止妊娠的规定》（2016年国家卫计委、工商行政管理总局、食品药品监督管理总局令第9号）</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第十三条 医疗卫生机构发生新生儿死亡的，应当及时出具死亡证明，并向当地县级卫生计生行政部门报告。</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rPr>
              <w:t>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1053"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对病残儿医学鉴定者情况的再次核实</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10XZ029000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【部门规章】《病残儿医学鉴定管理办法》（2002年国家计划生育委员会令第7号）</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第十二条 单位或村（居）委会对申请病残儿医学鉴定者的情况进行初步审核，出具书面意见，加盖公章，在接到申请材料之日起20个工作日内报女方户籍所在地的乡（镇、街道）计划生育管理部门。</w:t>
            </w:r>
          </w:p>
          <w:p>
            <w:pPr>
              <w:keepNext w:val="0"/>
              <w:keepLines w:val="0"/>
              <w:pageBreakBefore w:val="0"/>
              <w:widowControl w:val="0"/>
              <w:kinsoku/>
              <w:wordWrap/>
              <w:overflowPunct/>
              <w:topLinePunct w:val="0"/>
              <w:autoSpaceDE/>
              <w:autoSpaceDN/>
              <w:bidi w:val="0"/>
              <w:adjustRightInd/>
              <w:snapToGrid/>
              <w:spacing w:line="26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1053" w:type="dxa"/>
            <w:vAlign w:val="center"/>
          </w:tcPr>
          <w:p>
            <w:pPr>
              <w:spacing w:line="300" w:lineRule="exac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color w:val="000000"/>
                <w:sz w:val="20"/>
                <w:szCs w:val="20"/>
                <w:highlight w:val="none"/>
              </w:rPr>
            </w:pPr>
            <w:r>
              <w:rPr>
                <w:rFonts w:hint="eastAsia" w:ascii="宋体" w:hAnsi="宋体" w:cs="宋体"/>
                <w:color w:val="000000"/>
                <w:sz w:val="20"/>
                <w:szCs w:val="20"/>
                <w:highlight w:val="none"/>
              </w:rPr>
              <w:t>享受光荣院集中供养、优惠服务申请的受理</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10XZ030000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color w:val="000000"/>
                <w:sz w:val="20"/>
                <w:szCs w:val="20"/>
                <w:highlight w:val="none"/>
              </w:rPr>
            </w:pPr>
            <w:r>
              <w:rPr>
                <w:rFonts w:hint="eastAsia" w:ascii="宋体" w:hAnsi="宋体" w:cs="宋体"/>
                <w:color w:val="000000"/>
                <w:sz w:val="20"/>
                <w:szCs w:val="20"/>
                <w:highlight w:val="none"/>
              </w:rPr>
              <w:t>【行政法规】《光荣院管理办法》（2020年退役军人事务部令第3号修订）</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color w:val="000000"/>
                <w:sz w:val="20"/>
                <w:szCs w:val="20"/>
                <w:highlight w:val="none"/>
              </w:rPr>
            </w:pPr>
            <w:r>
              <w:rPr>
                <w:rFonts w:hint="eastAsia" w:ascii="宋体" w:hAnsi="宋体" w:cs="宋体"/>
                <w:color w:val="000000"/>
                <w:sz w:val="20"/>
                <w:szCs w:val="20"/>
                <w:highlight w:val="none"/>
              </w:rPr>
              <w:t>第八条 申请享受光荣院集中供养、优惠服务，应当由本人向户籍地村（社区）退役军人服务站提出申请，或者由其居民委员会（村民委员会）向乡镇（街道）退役军人服务站代为提出申请。</w:t>
            </w:r>
          </w:p>
          <w:p>
            <w:pPr>
              <w:keepNext w:val="0"/>
              <w:keepLines w:val="0"/>
              <w:pageBreakBefore w:val="0"/>
              <w:widowControl w:val="0"/>
              <w:kinsoku/>
              <w:wordWrap/>
              <w:overflowPunct/>
              <w:topLinePunct w:val="0"/>
              <w:autoSpaceDE/>
              <w:autoSpaceDN/>
              <w:bidi w:val="0"/>
              <w:adjustRightInd/>
              <w:snapToGrid/>
              <w:spacing w:line="300" w:lineRule="exact"/>
              <w:ind w:firstLine="376" w:firstLineChars="200"/>
              <w:textAlignment w:val="auto"/>
              <w:rPr>
                <w:rFonts w:hint="eastAsia" w:ascii="宋体" w:hAnsi="宋体" w:cs="宋体"/>
                <w:color w:val="000000"/>
                <w:spacing w:val="-6"/>
                <w:sz w:val="20"/>
                <w:szCs w:val="20"/>
                <w:highlight w:val="none"/>
              </w:rPr>
            </w:pPr>
            <w:r>
              <w:rPr>
                <w:rFonts w:hint="eastAsia" w:ascii="宋体" w:hAnsi="宋体" w:cs="宋体"/>
                <w:color w:val="000000"/>
                <w:spacing w:val="-6"/>
                <w:sz w:val="20"/>
                <w:szCs w:val="20"/>
                <w:highlight w:val="none"/>
              </w:rPr>
              <w:t>退役军人服务站应当在10个工作日内将申请材料报光荣院，光荣院初审后及时报其主管部门审核批准。</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color w:val="000000"/>
                <w:sz w:val="20"/>
                <w:szCs w:val="20"/>
                <w:highlight w:val="none"/>
              </w:rPr>
            </w:pPr>
            <w:r>
              <w:rPr>
                <w:rFonts w:hint="eastAsia" w:ascii="宋体" w:hAnsi="宋体" w:cs="宋体"/>
                <w:color w:val="000000"/>
                <w:sz w:val="20"/>
                <w:szCs w:val="20"/>
                <w:highlight w:val="none"/>
              </w:rPr>
              <w:t>光荣院根据其主管部门下达的计划和任务安排集中供养、优惠服务对象入院，并根据实际情况接受优待服务对象。</w:t>
            </w:r>
          </w:p>
        </w:tc>
        <w:tc>
          <w:tcPr>
            <w:tcW w:w="1053" w:type="dxa"/>
            <w:vAlign w:val="center"/>
          </w:tcPr>
          <w:p>
            <w:pPr>
              <w:spacing w:line="300" w:lineRule="exact"/>
              <w:rPr>
                <w:rFonts w:hint="eastAsia" w:ascii="宋体" w:hAnsi="宋体" w:eastAsia="宋体" w:cs="宋体"/>
                <w:bCs/>
                <w:color w:val="000000"/>
                <w:kern w:val="0"/>
                <w:sz w:val="20"/>
                <w:szCs w:val="20"/>
                <w:highlight w:val="none"/>
                <w:lang w:val="en-US" w:eastAsia="zh-CN"/>
              </w:rPr>
            </w:pPr>
            <w:r>
              <w:rPr>
                <w:rFonts w:hint="eastAsia" w:ascii="宋体" w:hAnsi="宋体" w:cs="宋体"/>
                <w:bCs/>
                <w:color w:val="000000"/>
                <w:kern w:val="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25" w:type="dxa"/>
            <w:vAlign w:val="center"/>
          </w:tcPr>
          <w:p>
            <w:pPr>
              <w:pStyle w:val="6"/>
              <w:keepNext w:val="0"/>
              <w:keepLines w:val="0"/>
              <w:pageBreakBefore w:val="0"/>
              <w:numPr>
                <w:ilvl w:val="0"/>
                <w:numId w:val="4"/>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可能引发社会安全事件的矛盾纠纷的调解</w:t>
            </w:r>
          </w:p>
        </w:tc>
        <w:tc>
          <w:tcPr>
            <w:tcW w:w="7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10XZ033000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【法律】《中华人民共和国突发事件应对法》（2007年）</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第二十一条 县级人民政府及其有关部门、乡级人民政府、街道办事处、居民委员会、村民委员会应当及时调解处理可能引发社会安全事件的矛盾纠纷。</w:t>
            </w:r>
          </w:p>
        </w:tc>
        <w:tc>
          <w:tcPr>
            <w:tcW w:w="1053" w:type="dxa"/>
            <w:vAlign w:val="center"/>
          </w:tcPr>
          <w:p>
            <w:pPr>
              <w:spacing w:line="300" w:lineRule="exact"/>
              <w:rPr>
                <w:rFonts w:hint="eastAsia" w:ascii="宋体" w:hAnsi="宋体" w:eastAsia="宋体" w:cs="宋体"/>
                <w:bCs/>
                <w:color w:val="000000"/>
                <w:kern w:val="0"/>
                <w:sz w:val="20"/>
                <w:szCs w:val="20"/>
                <w:highlight w:val="none"/>
                <w:lang w:val="en-US" w:eastAsia="zh-CN"/>
              </w:rPr>
            </w:pPr>
            <w:r>
              <w:rPr>
                <w:rFonts w:hint="eastAsia" w:ascii="宋体" w:hAnsi="宋体" w:cs="宋体"/>
                <w:bCs/>
                <w:color w:val="000000"/>
                <w:kern w:val="0"/>
                <w:sz w:val="20"/>
                <w:szCs w:val="20"/>
                <w:highlight w:val="none"/>
                <w:lang w:val="en-US" w:eastAsia="zh-CN"/>
              </w:rPr>
              <w:t>综治中心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425" w:type="dxa"/>
            <w:vAlign w:val="center"/>
          </w:tcPr>
          <w:p>
            <w:pPr>
              <w:pStyle w:val="6"/>
              <w:keepNext w:val="0"/>
              <w:keepLines w:val="0"/>
              <w:pageBreakBefore w:val="0"/>
              <w:numPr>
                <w:ilvl w:val="0"/>
                <w:numId w:val="4"/>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居民住房恢复重建补助对象审核</w:t>
            </w:r>
          </w:p>
        </w:tc>
        <w:tc>
          <w:tcPr>
            <w:tcW w:w="7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10XZ034000</w:t>
            </w:r>
          </w:p>
        </w:tc>
        <w:tc>
          <w:tcPr>
            <w:tcW w:w="946" w:type="dxa"/>
            <w:vAlign w:val="center"/>
          </w:tcPr>
          <w:p>
            <w:pPr>
              <w:spacing w:line="300" w:lineRule="exact"/>
              <w:jc w:val="center"/>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【行政法规】《自然灾害救助条例》（2019年国务院令第709号修正）</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105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default" w:ascii="宋体" w:hAnsi="宋体" w:cs="宋体"/>
                <w:bCs/>
                <w:color w:val="000000"/>
                <w:kern w:val="0"/>
                <w:sz w:val="20"/>
                <w:szCs w:val="20"/>
                <w:highlight w:val="none"/>
                <w:lang w:val="en-US" w:eastAsia="zh-CN"/>
              </w:rPr>
            </w:pPr>
            <w:r>
              <w:rPr>
                <w:rFonts w:hint="eastAsia" w:ascii="宋体" w:hAnsi="宋体" w:cs="宋体"/>
                <w:bCs/>
                <w:color w:val="000000"/>
                <w:kern w:val="0"/>
                <w:sz w:val="20"/>
                <w:szCs w:val="20"/>
                <w:highlight w:val="none"/>
                <w:lang w:val="en-US" w:eastAsia="zh-CN"/>
              </w:rPr>
              <w:t>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dxa"/>
            <w:vAlign w:val="center"/>
          </w:tcPr>
          <w:p>
            <w:pPr>
              <w:pStyle w:val="6"/>
              <w:keepNext w:val="0"/>
              <w:keepLines w:val="0"/>
              <w:pageBreakBefore w:val="0"/>
              <w:numPr>
                <w:ilvl w:val="0"/>
                <w:numId w:val="4"/>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救灾捐赠款物的组织代收</w:t>
            </w:r>
          </w:p>
        </w:tc>
        <w:tc>
          <w:tcPr>
            <w:tcW w:w="7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10XZ035000</w:t>
            </w:r>
          </w:p>
        </w:tc>
        <w:tc>
          <w:tcPr>
            <w:tcW w:w="946"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【部门规章】《救灾捐赠管理办法》（2008年民政部令第35号）</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一条宗旨的公益性民间组织组织实施。乡镇人民政府、城市街道办事处受县（县级市、市辖区）人民政府委托，可以组织代收本行政区域内村民、居民及驻在单位的救灾捐赠款物。代收的捐赠款物应当及时转交救灾捐赠受赠人。</w:t>
            </w:r>
          </w:p>
        </w:tc>
        <w:tc>
          <w:tcPr>
            <w:tcW w:w="1053" w:type="dxa"/>
            <w:vAlign w:val="center"/>
          </w:tcPr>
          <w:p>
            <w:pPr>
              <w:spacing w:line="280" w:lineRule="exact"/>
              <w:rPr>
                <w:rFonts w:hint="eastAsia" w:ascii="宋体" w:hAnsi="宋体" w:cs="宋体"/>
                <w:color w:val="000000"/>
                <w:sz w:val="20"/>
                <w:szCs w:val="20"/>
                <w:highlight w:val="yellow"/>
              </w:rPr>
            </w:pPr>
            <w:r>
              <w:rPr>
                <w:rFonts w:hint="eastAsia" w:ascii="宋体" w:hAnsi="宋体" w:cs="宋体"/>
                <w:bCs/>
                <w:color w:val="000000"/>
                <w:kern w:val="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pStyle w:val="6"/>
              <w:keepNext w:val="0"/>
              <w:keepLines w:val="0"/>
              <w:pageBreakBefore w:val="0"/>
              <w:numPr>
                <w:ilvl w:val="0"/>
                <w:numId w:val="4"/>
              </w:numPr>
              <w:kinsoku/>
              <w:wordWrap/>
              <w:overflowPunct/>
              <w:topLinePunct w:val="0"/>
              <w:autoSpaceDE/>
              <w:autoSpaceDN/>
              <w:bidi w:val="0"/>
              <w:adjustRightInd/>
              <w:snapToGrid/>
              <w:spacing w:line="340" w:lineRule="exact"/>
              <w:ind w:left="0" w:firstLine="100" w:firstLineChars="50"/>
              <w:jc w:val="center"/>
              <w:textAlignment w:val="auto"/>
              <w:outlineLvl w:val="9"/>
              <w:rPr>
                <w:rFonts w:hint="eastAsia" w:ascii="宋体" w:hAnsi="宋体" w:cs="宋体"/>
                <w:color w:val="000000"/>
                <w:sz w:val="20"/>
                <w:szCs w:val="20"/>
                <w:highlight w:val="none"/>
              </w:rPr>
            </w:pPr>
          </w:p>
        </w:tc>
        <w:tc>
          <w:tcPr>
            <w:tcW w:w="1670" w:type="dxa"/>
            <w:vAlign w:val="center"/>
          </w:tcPr>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设立健身气功活动站点审核</w:t>
            </w:r>
          </w:p>
        </w:tc>
        <w:tc>
          <w:tcPr>
            <w:tcW w:w="7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outlineLvl w:val="9"/>
              <w:rPr>
                <w:rFonts w:hint="eastAsia" w:ascii="宋体" w:hAnsi="宋体" w:cs="宋体"/>
                <w:color w:val="000000"/>
                <w:sz w:val="20"/>
                <w:szCs w:val="20"/>
                <w:highlight w:val="none"/>
              </w:rPr>
            </w:pPr>
            <w:r>
              <w:rPr>
                <w:rFonts w:hint="eastAsia" w:ascii="宋体" w:hAnsi="宋体" w:cs="宋体"/>
                <w:color w:val="000000"/>
                <w:sz w:val="20"/>
                <w:szCs w:val="20"/>
                <w:highlight w:val="none"/>
              </w:rPr>
              <w:t>0131002002</w:t>
            </w:r>
          </w:p>
        </w:tc>
        <w:tc>
          <w:tcPr>
            <w:tcW w:w="946" w:type="dxa"/>
            <w:vAlign w:val="center"/>
          </w:tcPr>
          <w:p>
            <w:pPr>
              <w:spacing w:line="300" w:lineRule="exact"/>
              <w:jc w:val="center"/>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【国务院决定】《关于第五批取消和下放管理层级行政审批项目的决定》（国发〔2010〕21号）</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附件2第62项：设立健身气功活动站点审批下放至县级人民政府体育行政管理部门。</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【部门规章】《健身气功管理办法》（2006年体育总局令第9号）</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outlineLvl w:val="9"/>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第十七条 设立健身气功站点，应当经当地街道办事处、乡镇级人民政府或企事业单位有关部门审核同意，报当地具有相应管辖权限的体育行政部门审批。</w:t>
            </w:r>
          </w:p>
        </w:tc>
        <w:tc>
          <w:tcPr>
            <w:tcW w:w="1053" w:type="dxa"/>
            <w:vAlign w:val="center"/>
          </w:tcPr>
          <w:p>
            <w:pPr>
              <w:spacing w:line="300" w:lineRule="exac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pStyle w:val="6"/>
              <w:numPr>
                <w:ilvl w:val="0"/>
                <w:numId w:val="4"/>
              </w:numPr>
              <w:spacing w:line="300" w:lineRule="exact"/>
              <w:ind w:left="0" w:firstLine="100" w:firstLineChars="50"/>
              <w:jc w:val="center"/>
              <w:rPr>
                <w:rFonts w:hint="eastAsia" w:ascii="宋体" w:hAnsi="宋体" w:cs="宋体"/>
                <w:color w:val="000000"/>
                <w:sz w:val="20"/>
                <w:szCs w:val="20"/>
                <w:highlight w:val="none"/>
              </w:rPr>
            </w:pPr>
          </w:p>
        </w:tc>
        <w:tc>
          <w:tcPr>
            <w:tcW w:w="1670" w:type="dxa"/>
            <w:vAlign w:val="center"/>
          </w:tcPr>
          <w:p>
            <w:pPr>
              <w:spacing w:line="300" w:lineRule="exact"/>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医疗救助资金的给付（审核）</w:t>
            </w:r>
          </w:p>
        </w:tc>
        <w:tc>
          <w:tcPr>
            <w:tcW w:w="735" w:type="dxa"/>
            <w:vAlign w:val="center"/>
          </w:tcPr>
          <w:p>
            <w:pPr>
              <w:spacing w:line="300" w:lineRule="exact"/>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0508004000</w:t>
            </w:r>
          </w:p>
        </w:tc>
        <w:tc>
          <w:tcPr>
            <w:tcW w:w="946" w:type="dxa"/>
            <w:vAlign w:val="center"/>
          </w:tcPr>
          <w:p>
            <w:pPr>
              <w:spacing w:line="300" w:lineRule="exact"/>
              <w:jc w:val="center"/>
              <w:rPr>
                <w:rFonts w:hint="eastAsia" w:ascii="宋体" w:hAnsi="宋体" w:cs="宋体"/>
                <w:bCs/>
                <w:color w:val="000000"/>
                <w:kern w:val="0"/>
                <w:sz w:val="20"/>
                <w:szCs w:val="20"/>
                <w:highlight w:val="none"/>
              </w:rPr>
            </w:pPr>
            <w:r>
              <w:rPr>
                <w:rFonts w:hint="eastAsia" w:ascii="宋体" w:hAnsi="宋体" w:cs="宋体"/>
                <w:color w:val="000000"/>
                <w:sz w:val="20"/>
                <w:szCs w:val="20"/>
                <w:highlight w:val="none"/>
                <w:lang w:val="en-US" w:eastAsia="zh-CN"/>
              </w:rPr>
              <w:t>兴庆区前进街街道办事处</w:t>
            </w:r>
          </w:p>
        </w:tc>
        <w:tc>
          <w:tcPr>
            <w:tcW w:w="9119"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【行政法规】《社会救助暂行办法》（2019年国务院令第709号修正）</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第二十八条 下列人员可以申请相关医疗救助：</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（一）最低生活保障家庭成员；</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（二）特困供养人员；</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（三）县级以上人民政府规定的其他特殊困难人员。</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第三十条 申请医疗救助的，应当向乡镇人民政府、街道办事处提出，经审核、公示后，由县级人民政府医疗保障部门审批。最低生活保障家庭成员和特困供养人员的医疗救助，由县级人民政府医疗保障部门直接办理。</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【地方政府规章】《宁夏回族自治区医疗救助办法》（2015年</w:t>
            </w:r>
            <w:r>
              <w:rPr>
                <w:rFonts w:hint="eastAsia" w:ascii="宋体" w:hAnsi="宋体" w:cs="宋体"/>
                <w:color w:val="000000"/>
                <w:sz w:val="20"/>
                <w:szCs w:val="20"/>
                <w:highlight w:val="none"/>
                <w:lang w:eastAsia="zh-CN"/>
              </w:rPr>
              <w:t>宁夏回族</w:t>
            </w:r>
            <w:r>
              <w:rPr>
                <w:rFonts w:hint="eastAsia" w:ascii="宋体" w:hAnsi="宋体" w:cs="宋体"/>
                <w:bCs/>
                <w:color w:val="000000"/>
                <w:kern w:val="0"/>
                <w:sz w:val="20"/>
                <w:szCs w:val="20"/>
                <w:highlight w:val="none"/>
              </w:rPr>
              <w:t>自治区政府令第78号）</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第四条第一款 民政部门负责医疗救助的具体管理工作。</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第十八条 低收入家庭重度残疾人、重点优抚对象、因病致贫家庭患病人员住院治疗申请医疗救助的，应当向户籍所在地乡镇人民政府、街道办事处提出，并提交下列申请材料：</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（一）居民户口簿、本人身份证；</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（二）残疾证、优抚证；</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（三）医疗机构出具的诊断证明、住院费用结算单；</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（四）城乡居民基本医疗保险、城乡居民大病医疗保险以及商业保险等保险结算单。</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textAlignment w:val="auto"/>
              <w:rPr>
                <w:rFonts w:hint="eastAsia" w:ascii="宋体" w:hAnsi="宋体" w:cs="宋体"/>
                <w:bCs/>
                <w:color w:val="000000"/>
                <w:kern w:val="0"/>
                <w:sz w:val="20"/>
                <w:szCs w:val="20"/>
                <w:highlight w:val="none"/>
              </w:rPr>
            </w:pPr>
            <w:r>
              <w:rPr>
                <w:rFonts w:hint="eastAsia" w:ascii="宋体" w:hAnsi="宋体" w:cs="宋体"/>
                <w:bCs/>
                <w:color w:val="000000"/>
                <w:kern w:val="0"/>
                <w:sz w:val="20"/>
                <w:szCs w:val="20"/>
                <w:highlight w:val="none"/>
              </w:rPr>
              <w:t>乡镇人民政府、街道办事处应当自收到申请材料之日起五个工作日内对申请人患病情况及家庭收入和财产状况进行调查、审核；经审核符合救助条件的，出具符合救助条件的证明，报送县（市、区）民政部门审批。</w:t>
            </w:r>
          </w:p>
        </w:tc>
        <w:tc>
          <w:tcPr>
            <w:tcW w:w="1053" w:type="dxa"/>
            <w:vAlign w:val="center"/>
          </w:tcPr>
          <w:p>
            <w:pPr>
              <w:spacing w:line="300" w:lineRule="exac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民生服务中心（退役军人服务站）</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D4D12"/>
    <w:multiLevelType w:val="multilevel"/>
    <w:tmpl w:val="03ED4D12"/>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33611A"/>
    <w:multiLevelType w:val="multilevel"/>
    <w:tmpl w:val="1233611A"/>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422332"/>
    <w:multiLevelType w:val="multilevel"/>
    <w:tmpl w:val="1D422332"/>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CF5D2E"/>
    <w:multiLevelType w:val="multilevel"/>
    <w:tmpl w:val="4CCF5D2E"/>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036C5"/>
    <w:rsid w:val="023D50B7"/>
    <w:rsid w:val="08777E1F"/>
    <w:rsid w:val="096601FE"/>
    <w:rsid w:val="15AE0179"/>
    <w:rsid w:val="18F510E0"/>
    <w:rsid w:val="29AB3E55"/>
    <w:rsid w:val="39580E75"/>
    <w:rsid w:val="42ED62A9"/>
    <w:rsid w:val="436F27DA"/>
    <w:rsid w:val="44C036C5"/>
    <w:rsid w:val="49E53DE4"/>
    <w:rsid w:val="55035A76"/>
    <w:rsid w:val="56F43577"/>
    <w:rsid w:val="666F2CFF"/>
    <w:rsid w:val="69C6626E"/>
    <w:rsid w:val="69CB11DC"/>
    <w:rsid w:val="6F67FE20"/>
    <w:rsid w:val="6FF233FD"/>
    <w:rsid w:val="736D396D"/>
    <w:rsid w:val="7774421E"/>
    <w:rsid w:val="7C8919C4"/>
    <w:rsid w:val="DD7DF4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Lines="50" w:after="60"/>
      <w:ind w:firstLine="200" w:firstLineChars="200"/>
      <w:jc w:val="center"/>
      <w:outlineLvl w:val="0"/>
    </w:pPr>
    <w:rPr>
      <w:rFonts w:ascii="Cambria" w:hAnsi="Cambria"/>
      <w:b/>
      <w:bCs/>
      <w:sz w:val="32"/>
      <w:szCs w:val="32"/>
    </w:rPr>
  </w:style>
  <w:style w:type="paragraph" w:styleId="3">
    <w:name w:val="Normal (Web)"/>
    <w:basedOn w:val="1"/>
    <w:qFormat/>
    <w:uiPriority w:val="0"/>
    <w:rPr>
      <w:rFonts w:ascii="Times New Roman" w:hAnsi="Times New Roman" w:eastAsia="宋体" w:cs="Times New Roman"/>
      <w:sz w:val="24"/>
      <w:szCs w:val="24"/>
    </w:rPr>
  </w:style>
  <w:style w:type="paragraph" w:customStyle="1" w:styleId="6">
    <w:name w:val="_Style 3"/>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2021-06-02T00:34:00Z</dcterms:created>
  <dc:creator>兴庆区前进街街道办事处收文员</dc:creator>
  <cp:lastModifiedBy>kylin</cp:lastModifiedBy>
  <dcterms:modified xsi:type="dcterms:W3CDTF">2025-02-11T10:12:57Z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