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52"/>
          <w:szCs w:val="52"/>
          <w:highlight w:val="none"/>
          <w:lang w:eastAsia="zh-CN"/>
        </w:rPr>
      </w:pPr>
      <w:r>
        <w:rPr>
          <w:rFonts w:hint="eastAsia" w:ascii="仿宋_GB2312" w:hAnsi="仿宋_GB2312" w:eastAsia="仿宋_GB2312" w:cs="仿宋_GB2312"/>
          <w:color w:val="000000"/>
          <w:sz w:val="32"/>
          <w:szCs w:val="32"/>
          <w:highlight w:val="none"/>
          <w:lang w:val="en-US" w:eastAsia="zh-CN"/>
        </w:rPr>
        <w:t>附件2</w:t>
      </w:r>
    </w:p>
    <w:p>
      <w:pPr>
        <w:jc w:val="center"/>
        <w:rPr>
          <w:rFonts w:hint="eastAsia" w:ascii="方正小标宋简体" w:eastAsia="方正小标宋简体"/>
          <w:color w:val="000000"/>
          <w:sz w:val="48"/>
          <w:szCs w:val="48"/>
          <w:highlight w:val="none"/>
          <w:lang w:eastAsia="zh-CN"/>
        </w:rPr>
      </w:pPr>
      <w:r>
        <w:rPr>
          <w:rFonts w:hint="eastAsia" w:ascii="方正小标宋简体" w:eastAsia="方正小标宋简体"/>
          <w:color w:val="000000"/>
          <w:sz w:val="48"/>
          <w:szCs w:val="48"/>
          <w:highlight w:val="none"/>
          <w:lang w:eastAsia="zh-CN"/>
        </w:rPr>
        <w:t>兴庆区</w:t>
      </w:r>
      <w:r>
        <w:rPr>
          <w:rFonts w:hint="eastAsia" w:ascii="方正小标宋简体" w:eastAsia="方正小标宋简体"/>
          <w:color w:val="000000"/>
          <w:sz w:val="48"/>
          <w:szCs w:val="48"/>
          <w:highlight w:val="none"/>
          <w:lang w:val="en-US" w:eastAsia="zh-CN"/>
        </w:rPr>
        <w:t>前进街</w:t>
      </w:r>
      <w:r>
        <w:rPr>
          <w:rFonts w:hint="eastAsia" w:ascii="方正小标宋简体" w:eastAsia="方正小标宋简体"/>
          <w:color w:val="000000"/>
          <w:sz w:val="48"/>
          <w:szCs w:val="48"/>
          <w:highlight w:val="none"/>
          <w:lang w:eastAsia="zh-CN"/>
        </w:rPr>
        <w:t>街道办事处赋权清单</w:t>
      </w:r>
    </w:p>
    <w:p>
      <w:pPr>
        <w:spacing w:before="312" w:beforeLines="100" w:after="312" w:afterLines="100"/>
        <w:jc w:val="center"/>
        <w:rPr>
          <w:rFonts w:hint="eastAsia" w:eastAsia="宋体"/>
          <w:color w:val="auto"/>
        </w:rPr>
      </w:pPr>
      <w:r>
        <w:rPr>
          <w:rFonts w:hint="eastAsia" w:ascii="黑体" w:hAnsi="黑体" w:eastAsia="黑体" w:cs="Times New Roman"/>
          <w:color w:val="auto"/>
          <w:sz w:val="32"/>
          <w:szCs w:val="32"/>
        </w:rPr>
        <w:t>一、行政处罚（</w:t>
      </w:r>
      <w:r>
        <w:rPr>
          <w:rFonts w:hint="eastAsia" w:ascii="黑体" w:hAnsi="黑体" w:eastAsia="黑体" w:cs="Times New Roman"/>
          <w:color w:val="auto"/>
          <w:sz w:val="32"/>
          <w:szCs w:val="32"/>
          <w:lang w:val="en-US" w:eastAsia="zh-CN"/>
        </w:rPr>
        <w:t>3</w:t>
      </w:r>
      <w:r>
        <w:rPr>
          <w:rFonts w:hint="eastAsia" w:ascii="黑体" w:hAnsi="黑体" w:eastAsia="黑体" w:cs="Times New Roman"/>
          <w:color w:val="auto"/>
          <w:sz w:val="32"/>
          <w:szCs w:val="32"/>
        </w:rPr>
        <w:t>3项）</w:t>
      </w:r>
    </w:p>
    <w:tbl>
      <w:tblPr>
        <w:tblStyle w:val="10"/>
        <w:tblW w:w="14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883"/>
        <w:gridCol w:w="8989"/>
        <w:gridCol w:w="1119"/>
        <w:gridCol w:w="69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pacing w:val="0"/>
                <w:sz w:val="20"/>
                <w:szCs w:val="20"/>
              </w:rPr>
            </w:pPr>
            <w:r>
              <w:rPr>
                <w:rFonts w:hint="eastAsia" w:ascii="方正黑体简体" w:hAnsi="方正黑体简体" w:eastAsia="方正黑体简体" w:cs="方正黑体简体"/>
                <w:bCs/>
                <w:color w:val="auto"/>
                <w:spacing w:val="0"/>
                <w:sz w:val="20"/>
                <w:szCs w:val="20"/>
              </w:rPr>
              <w:t>序号</w:t>
            </w:r>
          </w:p>
        </w:tc>
        <w:tc>
          <w:tcPr>
            <w:tcW w:w="1883"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pacing w:val="0"/>
                <w:sz w:val="20"/>
                <w:szCs w:val="20"/>
              </w:rPr>
            </w:pPr>
            <w:r>
              <w:rPr>
                <w:rFonts w:hint="eastAsia" w:ascii="方正黑体简体" w:hAnsi="方正黑体简体" w:eastAsia="方正黑体简体" w:cs="方正黑体简体"/>
                <w:bCs/>
                <w:color w:val="auto"/>
                <w:spacing w:val="0"/>
                <w:sz w:val="20"/>
                <w:szCs w:val="20"/>
              </w:rPr>
              <w:t>职权名称</w:t>
            </w:r>
          </w:p>
        </w:tc>
        <w:tc>
          <w:tcPr>
            <w:tcW w:w="8989"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pacing w:val="0"/>
                <w:sz w:val="20"/>
                <w:szCs w:val="20"/>
              </w:rPr>
            </w:pPr>
            <w:r>
              <w:rPr>
                <w:rFonts w:hint="eastAsia" w:ascii="方正黑体简体" w:hAnsi="方正黑体简体" w:eastAsia="方正黑体简体" w:cs="方正黑体简体"/>
                <w:bCs/>
                <w:color w:val="auto"/>
                <w:spacing w:val="0"/>
                <w:sz w:val="20"/>
                <w:szCs w:val="20"/>
              </w:rPr>
              <w:t>设定依据</w:t>
            </w:r>
          </w:p>
        </w:tc>
        <w:tc>
          <w:tcPr>
            <w:tcW w:w="1119"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pacing w:val="0"/>
                <w:sz w:val="20"/>
                <w:szCs w:val="20"/>
              </w:rPr>
            </w:pPr>
            <w:r>
              <w:rPr>
                <w:rFonts w:hint="eastAsia" w:ascii="方正黑体简体" w:hAnsi="方正黑体简体" w:eastAsia="方正黑体简体" w:cs="方正黑体简体"/>
                <w:bCs/>
                <w:color w:val="auto"/>
                <w:spacing w:val="0"/>
                <w:sz w:val="20"/>
                <w:szCs w:val="20"/>
              </w:rPr>
              <w:t>原行使层级及部门</w:t>
            </w:r>
          </w:p>
        </w:tc>
        <w:tc>
          <w:tcPr>
            <w:tcW w:w="692"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pacing w:val="0"/>
                <w:sz w:val="20"/>
                <w:szCs w:val="20"/>
                <w:lang w:eastAsia="zh-CN"/>
              </w:rPr>
            </w:pPr>
            <w:r>
              <w:rPr>
                <w:rFonts w:hint="eastAsia" w:ascii="方正黑体简体" w:hAnsi="方正黑体简体" w:eastAsia="方正黑体简体" w:cs="方正黑体简体"/>
                <w:bCs/>
                <w:color w:val="auto"/>
                <w:spacing w:val="0"/>
                <w:sz w:val="20"/>
                <w:szCs w:val="20"/>
                <w:lang w:eastAsia="zh-CN"/>
              </w:rPr>
              <w:t>承接部门</w:t>
            </w:r>
          </w:p>
        </w:tc>
        <w:tc>
          <w:tcPr>
            <w:tcW w:w="1601" w:type="dxa"/>
            <w:tcBorders>
              <w:top w:val="single" w:color="auto" w:sz="4" w:space="0"/>
              <w:left w:val="nil"/>
              <w:bottom w:val="single" w:color="auto" w:sz="4" w:space="0"/>
              <w:right w:val="single" w:color="auto" w:sz="4" w:space="0"/>
            </w:tcBorders>
            <w:vAlign w:val="center"/>
          </w:tcPr>
          <w:p>
            <w:pPr>
              <w:jc w:val="center"/>
              <w:rPr>
                <w:rFonts w:hint="default" w:ascii="方正黑体简体" w:hAnsi="方正黑体简体" w:eastAsia="方正黑体简体" w:cs="方正黑体简体"/>
                <w:bCs/>
                <w:color w:val="auto"/>
                <w:spacing w:val="0"/>
                <w:sz w:val="20"/>
                <w:szCs w:val="20"/>
                <w:lang w:val="en-US" w:eastAsia="zh-CN"/>
              </w:rPr>
            </w:pPr>
            <w:r>
              <w:rPr>
                <w:rFonts w:hint="eastAsia" w:ascii="方正黑体简体" w:hAnsi="方正黑体简体" w:eastAsia="方正黑体简体" w:cs="方正黑体简体"/>
                <w:bCs/>
                <w:color w:val="auto"/>
                <w:spacing w:val="0"/>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对未经批准擅自兴建殡葬设施的处罚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【行政法规】</w:t>
            </w:r>
            <w:r>
              <w:rPr>
                <w:rFonts w:hint="eastAsia" w:ascii="宋体" w:hAnsi="宋体" w:eastAsia="宋体"/>
                <w:color w:val="auto"/>
                <w:spacing w:val="0"/>
                <w:sz w:val="20"/>
                <w:szCs w:val="20"/>
              </w:rPr>
              <w:t>《殡葬管理条例》（2012年国务院令第628号修订)</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第七条 省、自治区、直辖市人民政府民政部门应当根据本行政区域的殡葬工作规划和殡葬需要，提出殡仪馆、火葬场、骨灰堂、公墓、殡仪服务站等殡葬设施的数量、布局规划，报本级人民政府审批。</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第十八条 未经批准，擅自兴建殡葬设施的，由民政部门会同建设、土地行政管理部门予以取缔，责令恢复原状，没收违法所得，可以并处违法所得1倍以上3倍以下的罚款。</w:t>
            </w:r>
          </w:p>
        </w:tc>
        <w:tc>
          <w:tcPr>
            <w:tcW w:w="1119"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spacing w:line="300" w:lineRule="exact"/>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2</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对随意倾倒、抛洒、堆放城市生活垃圾的处罚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【部门规章】《城市生活垃圾管理办法》（2015年5月建设部令第24号修正）</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第十六条 单位和个人应当按照规定的地点、时间等要求，将生活垃圾投放到指定的垃圾容器或者收集场所。废旧家具等大件垃圾应当按规定时间投放在指定的收集场所。</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城市生活垃圾实行分类收集的地区，单位和个人应当按照规定的分类要求，将生活垃圾装入相应的垃圾袋内，投入指定的垃圾容器或者收集场所。</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宾馆、饭店、餐馆以及机关、院校等单位应当按照规定单独收集、存放本单位产生的餐厨垃圾，并交符合本办法要求的城市生活垃圾收集、运输企业运至规定的城市生活垃圾处理场所。</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eastAsia="宋体"/>
                <w:color w:val="auto"/>
                <w:spacing w:val="0"/>
                <w:kern w:val="0"/>
                <w:sz w:val="20"/>
                <w:szCs w:val="20"/>
              </w:rPr>
            </w:pPr>
            <w:r>
              <w:rPr>
                <w:rFonts w:hint="eastAsia" w:ascii="宋体" w:hAnsi="宋体" w:eastAsia="宋体"/>
                <w:color w:val="auto"/>
                <w:spacing w:val="0"/>
                <w:sz w:val="20"/>
                <w:szCs w:val="20"/>
              </w:rPr>
              <w:t>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119"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spacing w:line="300" w:lineRule="exact"/>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3</w:t>
            </w:r>
          </w:p>
        </w:tc>
        <w:tc>
          <w:tcPr>
            <w:tcW w:w="1883"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olor w:val="auto"/>
                <w:spacing w:val="0"/>
                <w:sz w:val="20"/>
                <w:szCs w:val="20"/>
              </w:rPr>
            </w:pPr>
            <w:r>
              <w:rPr>
                <w:rFonts w:hint="eastAsia" w:ascii="宋体" w:hAnsi="宋体" w:eastAsia="宋体"/>
                <w:color w:val="auto"/>
                <w:spacing w:val="0"/>
                <w:sz w:val="20"/>
                <w:szCs w:val="20"/>
              </w:rPr>
              <w:t>对建筑垃圾储运消纳场受纳工业垃圾、生活垃圾和有毒有害垃圾的处罚</w:t>
            </w:r>
          </w:p>
        </w:tc>
        <w:tc>
          <w:tcPr>
            <w:tcW w:w="8989" w:type="dxa"/>
            <w:tcBorders>
              <w:top w:val="single" w:color="auto" w:sz="4" w:space="0"/>
              <w:left w:val="nil"/>
              <w:bottom w:val="single" w:color="auto" w:sz="4" w:space="0"/>
              <w:right w:val="single" w:color="auto" w:sz="4" w:space="0"/>
            </w:tcBorders>
            <w:vAlign w:val="center"/>
          </w:tcPr>
          <w:p>
            <w:pPr>
              <w:spacing w:line="300" w:lineRule="exact"/>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【法律】《中华人民共和国城乡规划法》（2015年4月中华人民共和国主席令第29号第二次修正）</w:t>
            </w:r>
          </w:p>
          <w:p>
            <w:pPr>
              <w:spacing w:line="300" w:lineRule="exact"/>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 xml:space="preserve">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w:t>
            </w:r>
          </w:p>
          <w:p>
            <w:pPr>
              <w:spacing w:line="300" w:lineRule="exact"/>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【部门规章】《城市建筑垃圾管理规定》（2005年3月建设部令第139号）</w:t>
            </w:r>
          </w:p>
          <w:p>
            <w:pPr>
              <w:spacing w:line="300" w:lineRule="exact"/>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sz w:val="20"/>
                <w:szCs w:val="20"/>
              </w:rPr>
              <w:t xml:space="preserve">第二十一条 建筑垃圾储运消纳场受纳工业垃圾、生活垃圾和有毒有害垃圾的，由城市人民政府市容环境卫生主管部门责令限期改正，给予警告，处5000元以上1万元以下罚款。  </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spacing w:line="300" w:lineRule="exact"/>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4</w:t>
            </w:r>
          </w:p>
        </w:tc>
        <w:tc>
          <w:tcPr>
            <w:tcW w:w="1883"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olor w:val="auto"/>
                <w:spacing w:val="0"/>
                <w:sz w:val="20"/>
                <w:szCs w:val="20"/>
              </w:rPr>
            </w:pPr>
            <w:r>
              <w:rPr>
                <w:rFonts w:hint="eastAsia" w:ascii="宋体" w:hAnsi="宋体" w:eastAsia="宋体"/>
                <w:color w:val="auto"/>
                <w:spacing w:val="0"/>
                <w:sz w:val="20"/>
                <w:szCs w:val="20"/>
              </w:rPr>
              <w:t>对未经批准，在住宅室内装饰装修活动中搭建建筑物、构筑物的，或者擅自改变住宅外立面、在非承重外墙上开门、窗的处罚</w:t>
            </w:r>
          </w:p>
        </w:tc>
        <w:tc>
          <w:tcPr>
            <w:tcW w:w="8989" w:type="dxa"/>
            <w:tcBorders>
              <w:top w:val="single" w:color="auto" w:sz="4" w:space="0"/>
              <w:left w:val="nil"/>
              <w:bottom w:val="single" w:color="auto" w:sz="4" w:space="0"/>
              <w:right w:val="single" w:color="auto" w:sz="4" w:space="0"/>
            </w:tcBorders>
            <w:vAlign w:val="center"/>
          </w:tcPr>
          <w:p>
            <w:pPr>
              <w:spacing w:line="300" w:lineRule="exact"/>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【部门规章】《住宅室内装饰装修管理办法》（2011年住建部令第9号修订）</w:t>
            </w:r>
          </w:p>
          <w:p>
            <w:pPr>
              <w:spacing w:line="300" w:lineRule="exact"/>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sz w:val="20"/>
                <w:szCs w:val="20"/>
              </w:rPr>
              <w:t>第三十九条 未经城市规划行政主管部门批准，在住宅室内装饰装修活动中搭建建筑物、构筑物的，或者擅自改变住宅外立面、在非承重外墙上开门、窗的，由城市规划行政主管部门按照《城市规划法》及相关法规的规定处罚。</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5</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rPr>
            </w:pPr>
            <w:r>
              <w:rPr>
                <w:rFonts w:hint="eastAsia" w:ascii="宋体" w:hAnsi="宋体" w:eastAsia="宋体"/>
                <w:color w:val="auto"/>
                <w:spacing w:val="0"/>
                <w:sz w:val="20"/>
                <w:szCs w:val="20"/>
              </w:rPr>
              <w:t>对施工单位未及时清运工程施工过程中产生的建筑垃圾的处罚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【部门规章】《城市建筑垃圾管理规定》（2005年3月建设部令第139号）</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第二十二条 施工单位未及时清运工程施工过程中产生的建筑垃圾，造成环境污染的，由城市人民政府市容环境卫生主管部门责令限期改正，给予警告，处5000元以上5万元以下罚款。</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施工单位将建筑垃圾交给个人或者未经核准从事建筑垃圾运输的单位处置的，由城市人民政府市容环境卫生主管部门责令限期改正，给予警告，处1万元以上10万元以下罚款。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6</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rPr>
            </w:pPr>
            <w:r>
              <w:rPr>
                <w:rFonts w:hint="eastAsia" w:ascii="宋体" w:hAnsi="宋体" w:eastAsia="宋体"/>
                <w:color w:val="auto"/>
                <w:spacing w:val="0"/>
                <w:sz w:val="20"/>
                <w:szCs w:val="20"/>
              </w:rPr>
              <w:t>对单位和个人随意倾倒、抛撒或者堆放建筑垃圾的处罚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【部门规章】《城市建筑垃圾管理规定》（2005年3月建设部令第139号）</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 xml:space="preserve">第十五条 任何单位和个人不得随意倾倒、抛撒或者堆放建筑垃圾。 </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 xml:space="preserve">第二十六条 任何单位和个人随意倾倒、抛撒或者堆放建筑垃圾的，由城市人民政府市容环境卫生主管部门责令限期改正，给予警告，并对单位处5000元以上5万元以下罚款，对个人处200元以下罚款。 </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7</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rPr>
            </w:pPr>
            <w:r>
              <w:rPr>
                <w:rFonts w:hint="eastAsia" w:ascii="宋体" w:hAnsi="宋体" w:eastAsia="宋体"/>
                <w:color w:val="auto"/>
                <w:spacing w:val="0"/>
                <w:sz w:val="20"/>
                <w:szCs w:val="20"/>
              </w:rPr>
              <w:t>对擅自拆除、迁移环境卫生设施的处罚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【行政法规】《城市市容和环境卫生管理条例》（2017年3月国务院令第676号修正）</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【地方性法规】《宁夏回族自治区市容环境卫生管理条例》（2004年11月宁夏回族自治区人民代表大会常务委员会公告第15号）</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第十四条 车站、机场、广场、大型商场、公园、旅游景点、</w:t>
            </w:r>
            <w:r>
              <w:rPr>
                <w:rFonts w:hint="eastAsia" w:ascii="宋体" w:hAnsi="宋体"/>
                <w:color w:val="auto"/>
                <w:spacing w:val="0"/>
                <w:sz w:val="20"/>
                <w:szCs w:val="20"/>
                <w:lang w:eastAsia="zh-CN"/>
              </w:rPr>
              <w:t>银古路街</w:t>
            </w:r>
            <w:r>
              <w:rPr>
                <w:rFonts w:hint="eastAsia" w:ascii="宋体" w:hAnsi="宋体" w:eastAsia="宋体"/>
                <w:color w:val="auto"/>
                <w:spacing w:val="0"/>
                <w:sz w:val="20"/>
                <w:szCs w:val="20"/>
              </w:rPr>
              <w:t>体育娱乐场所、城市加油站、高速公路和其他道路两侧的加油站等公共场所，应当按照环境卫生设施标准，配套建设公共厕所和其他环境卫生设施。配套建设的公共厕所及其他环境卫生设施应当与主体工程同时投入使用。</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任何单位和个人不得侵占、毁坏或者擅自拆除、迁移、封闭环境卫生设施。因城市建设确需拆除、迁移环境卫生设施的，应当征得市容环境卫生行政主管部门的同意，并按照规定重建或者补建。</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 xml:space="preserve">第四十六条 违反本条例第十四条第二款规定，擅自拆除、迁移环境卫生设施的，责令恢复原状，并处五千元至一万元的罚款。  </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 xml:space="preserve">违反本条例第十四条第二款规定，侵占、毁坏、封闭环境卫生设施的，责令恢复原状或者赔偿损失，并处二百元至二千元的罚款；构成违反治安管理行为的，由公安机关依法处理。 </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8</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rPr>
            </w:pPr>
            <w:r>
              <w:rPr>
                <w:rFonts w:hint="eastAsia" w:ascii="宋体" w:hAnsi="宋体" w:eastAsia="宋体"/>
                <w:color w:val="auto"/>
                <w:spacing w:val="0"/>
                <w:sz w:val="20"/>
                <w:szCs w:val="20"/>
              </w:rPr>
              <w:t>对在运输建筑垃圾过程中沿途丢弃、遗撒建筑垃圾的处罚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【部门规章】《城市建筑垃圾管理规定》（2005年3月建设部令第139号）</w:t>
            </w:r>
          </w:p>
          <w:p>
            <w:pPr>
              <w:keepNext w:val="0"/>
              <w:keepLines w:val="0"/>
              <w:pageBreakBefore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第二十三条 处置建筑垃圾的单位在运输建筑垃圾过程中沿途丢弃、遗撒建筑垃圾的，由城市人民政府市容环境卫生主管部门责令限期改正，给予警告，处5000元以上5万元以下罚款。</w:t>
            </w:r>
          </w:p>
        </w:tc>
        <w:tc>
          <w:tcPr>
            <w:tcW w:w="1119"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9</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rPr>
            </w:pPr>
            <w:r>
              <w:rPr>
                <w:rFonts w:hint="eastAsia" w:ascii="宋体" w:hAnsi="宋体" w:eastAsia="宋体"/>
                <w:color w:val="auto"/>
                <w:spacing w:val="0"/>
                <w:sz w:val="20"/>
                <w:szCs w:val="20"/>
              </w:rPr>
              <w:t>对将垃圾、泔水排入雨水管道、污水排水管道、河道、公共厕所等地方的处罚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【地方性法规】《宁夏回族自治区市容环境卫生管理条例》（2004年11月宁夏回族自治区人民代表大会常务委员会公告第15号）</w:t>
            </w:r>
          </w:p>
          <w:p>
            <w:pPr>
              <w:keepNext w:val="0"/>
              <w:keepLines w:val="0"/>
              <w:pageBreakBefore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第三十六条 餐厅（馆）及单位食堂、食品加工企业、榨油厂等产生的垃圾、泔水，必须运输到市容环境卫生行政主管部门指定的地点集中处理。</w:t>
            </w:r>
          </w:p>
          <w:p>
            <w:pPr>
              <w:keepNext w:val="0"/>
              <w:keepLines w:val="0"/>
              <w:pageBreakBefore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禁止餐厅（馆）及单位食堂、食品加工企业、榨油厂等将产生的垃圾、泔水排入雨水管道、污水排水管道、河道、公共厕所等地方。</w:t>
            </w:r>
          </w:p>
          <w:p>
            <w:pPr>
              <w:keepNext w:val="0"/>
              <w:keepLines w:val="0"/>
              <w:pageBreakBefore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第五十条  违反第三十六条第二款规定，将垃圾、泔水排入雨水管道、污水排水管道、河道、公共厕所等地方的，处以五百元至二千元的罚款。</w:t>
            </w:r>
          </w:p>
        </w:tc>
        <w:tc>
          <w:tcPr>
            <w:tcW w:w="1119"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spacing w:line="290" w:lineRule="exact"/>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10</w:t>
            </w:r>
          </w:p>
        </w:tc>
        <w:tc>
          <w:tcPr>
            <w:tcW w:w="1883" w:type="dxa"/>
            <w:tcBorders>
              <w:top w:val="single" w:color="auto" w:sz="4" w:space="0"/>
              <w:left w:val="nil"/>
              <w:bottom w:val="single" w:color="auto" w:sz="4" w:space="0"/>
              <w:right w:val="single" w:color="auto" w:sz="4" w:space="0"/>
            </w:tcBorders>
            <w:vAlign w:val="center"/>
          </w:tcPr>
          <w:p>
            <w:pPr>
              <w:widowControl/>
              <w:spacing w:line="290" w:lineRule="exact"/>
              <w:textAlignment w:val="center"/>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用人单位未及时为劳动者办理就业登记手续的处罚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【部门规章】《就业服务与就业管理规定》 （2018年人力资源和社会保障部令第38号修订）</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第六十二条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劳动者从事个体经营或灵活就业的，由本人在街道、乡镇公共就业服务机构办理就业登记。</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就业登记的内容主要包括劳动者个人信息、就业类型、就业时间、就业单位以及订立、终止或者解除劳动合同情况等。就业登记的具体内容和所需材料由省级劳动保障行政部门规定。</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公共就业服务机构应当对用人单位办理就业登记及相关手续设立专门服务窗口，简化程序，方便用人单位办理。</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第七十五条  用人单位违反本规定第六十二条规定，未及时为劳动者办理就业登记手续的，由劳动保障行政部门责令改正，并可处以一千元以下的罚款。</w:t>
            </w:r>
          </w:p>
        </w:tc>
        <w:tc>
          <w:tcPr>
            <w:tcW w:w="11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兴庆区人力资源和社会保障局</w:t>
            </w:r>
          </w:p>
        </w:tc>
        <w:tc>
          <w:tcPr>
            <w:tcW w:w="6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11</w:t>
            </w:r>
          </w:p>
        </w:tc>
        <w:tc>
          <w:tcPr>
            <w:tcW w:w="1883" w:type="dxa"/>
            <w:tcBorders>
              <w:top w:val="single" w:color="auto" w:sz="4" w:space="0"/>
              <w:left w:val="nil"/>
              <w:bottom w:val="single" w:color="auto" w:sz="4" w:space="0"/>
              <w:right w:val="single" w:color="auto" w:sz="4" w:space="0"/>
            </w:tcBorders>
            <w:vAlign w:val="center"/>
          </w:tcPr>
          <w:p>
            <w:pPr>
              <w:widowControl/>
              <w:textAlignment w:val="center"/>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在公厕内乱丢垃圾、污物，随地吐痰，乱涂乱画的；破坏公厕设施、设备的；未经批准擅自占用或者改变公厕使用性质的处罚</w:t>
            </w:r>
          </w:p>
        </w:tc>
        <w:tc>
          <w:tcPr>
            <w:tcW w:w="8989" w:type="dxa"/>
            <w:tcBorders>
              <w:top w:val="single" w:color="auto" w:sz="4" w:space="0"/>
              <w:left w:val="nil"/>
              <w:bottom w:val="single" w:color="auto" w:sz="4" w:space="0"/>
              <w:right w:val="single" w:color="auto" w:sz="4" w:space="0"/>
            </w:tcBorders>
            <w:vAlign w:val="center"/>
          </w:tcPr>
          <w:p>
            <w:pPr>
              <w:widowControl/>
              <w:ind w:firstLine="400" w:firstLineChars="200"/>
              <w:textAlignment w:val="center"/>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【部门规章】《城市公厕管理办法》（2011年住建部令第9号修正）</w:t>
            </w:r>
          </w:p>
          <w:p>
            <w:pPr>
              <w:widowControl/>
              <w:ind w:firstLine="400" w:firstLineChars="200"/>
              <w:textAlignment w:val="center"/>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第二十四条 对于违反本办法，有下列行为之一的，城市人民政府环境卫生行政主管部门可以责令其恢复原状、赔偿损失，并处以罚款：（一）在公厕内乱丢垃圾、污物，随地吐痰，乱涂乱画的；（二）破坏公厕设施、设备的；（三）未经批准擅自占用或者改变公厕使用性质的。</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12</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对临街建筑物外立面污浊的；在临街建筑物的阳台外、窗外吊挂、晾晒物品的；临街建筑物上安装的空调室外机、排气扇（管）、防盗窗（网）、遮阳篷、太阳能热水器等不符合市容管理规定的；公交车等机动车辆上的广告画面和字迹陈旧、污损，未及时清洗、修复或者更换的；在市容环境卫生行政主管部门划定的区域以外从事设摊经营和汽车修理、清洗活动的; 在城市建筑物、构筑物和其他设施以及树木上乱涂写、刻画或者随意张贴零星宣传品的；擅自悬挂、张贴宣传品的；城市内的工程施工现场不符合市容环境卫生规定的处罚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【地方性法规】《宁夏回族自治区市容环境卫生管理条例》（2004年11月宁夏回族自治区人民代表大会常务委员会公告第15号）</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第二十二条 临街建筑物，应当保持外立面完好、整洁、美观。</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临街建筑物的阳台、门窗、屋顶应当保持整洁、美观。禁止在临街建筑物的阳台外、窗外吊挂、晾晒物品。</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鼓励在临街建筑物的阳台和平台上种花、种草。搭建或者封闭露台、阳台、外走廊等，应当符合城市容貌标准，并保证邻居和行人安全。</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 xml:space="preserve">第二十三条 临街建筑物上安装空调室外机、排气扇（管）、防盗窗（网）、遮阳篷、太阳能热水器等，应当保持外形整洁、美观，并将空调室外机的冷却水引入室内或者下水道，不得随意排放。 </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第二十五条 进入市区行驶的交通运输工具，应当保持外型完好、整洁。</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利用公交车等机动车辆进行广告宣传的，应当保持广告画面和字迹整洁完好，语言文字规范；出现陈旧、污损的，应当及时清洗、修复或者更换。</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第二十六条 市容环境卫生行政主管部门应当在市区内合理划分可以设摊经营和从事汽车修理、清洗活动的区域，并应当现场明示。</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 xml:space="preserve">禁止在市容环境卫生行政主管部门划定的区域以外从事设摊经营和汽车修理、清洗活动。 </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第二十七条 禁止任何单位和个人在城市建筑物、构筑物及其他设施和树木上乱涂写、刻画。</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零星张贴宣传品的，应当张贴在公共张贴栏中。禁止随意张贴零星宣传品。</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第二十八条 机关、团体、企业事业单位临街悬挂、张贴宣传品等的，应当经市容环境卫生行政主管部门批准。</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申请临街悬挂、张贴宣传品的，应当提交申请书和单位证明。申请书的内容包括宣传的内容、悬挂地点、悬挂期限并加盖单位印章。</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申请单位提交的材料齐全，内容符合规定的，市容环境卫生行政主管部门审查后，应当及时书面作出决定。</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市容环境卫生行政主管部门受理本条规定的审批事项，不得收取费用。</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机关、团体、企事业单位临街悬挂、张贴宣传品的，应当保持外形整洁、美观，并在规定的期限内予以清除。</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第二十九条 城市内的工程施工现场应当符合下列规定：（一）在批准的占地范围内封闭作业； （二）及时清运渣土，保持整洁；（三）出入工地的车辆保持清洁；（四）施工用水按照规定排放，不得外泄污染路面；（五）临街工地周围设置安全护栏和围蔽设施不低于1.8米；（六）停工场地应当及时整理并做必要的覆盖；（七）工程竣工后，应当及时清理和平整场地；（八）有符合卫生要求的厕所和垃圾容器。</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 xml:space="preserve">第四十八条 有下列情形之一的，责令限期改正，给予警告；逾期拒不改正的，给予罚款：（一）违反第二十二条第一款规定，临街建筑物外立面污浊的，处以五百元至二千元的罚款；（二）违反第二十二条第二款规定，在临街建筑物的阳台外、窗外吊挂、晾晒物品的，处以二十元至五十元的罚款；（三）违反第二十三条规定，临街建筑物上安装的空调室外机、排气扇（管）、防盗窗（网）、遮阳篷、太阳能热水器等不符合市容管理规定的，处以二十元至二百元的罚款；（四）违反第二十五条第二款规定，公交车等机动车辆上的广告画面和字迹陈旧、污损，未及时清洗、修复或者更换的，对广告经营者或者车辆营运人处以五十元至二百元的罚款；（五）违反第二十六条第二款规定，在市容环境卫生行政主管部门划定的区域以外从事设摊经营和汽车修理、清洗活动的，处以一百元至五百元的罚款; （六）违反第二十七条规定，在城市建筑物、构筑物和其他设施以及树木上乱涂写、刻画或者随意张贴零星宣传品的，对行为人处以一百元至一千元的罚款；情节严重的，处以五百元至二千元的罚款；（七）违反第二十八条规定，擅自悬挂、张贴宣传品的，处以二百元至一千元的罚款；（八）违反第二十九条规定，城市内的工程施工现场不符合市容环境卫生规定，处以五百元至一千元的罚款。  </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pStyle w:val="4"/>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13</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非法占用土地的处罚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【法律】《中华人民共和国土地管理法》（2019年8月中华人民共和国主席令第32号第三次修正）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超过批准的数量占用土地，多占的土地以非法占用土地论处。</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第七十八条 农村村民未经批准或者采取欺骗手段骗取批准，非法占用土地建住宅的，由县级以上人民政府农业农村主管部门责令退还非法占用的土地，限期拆除在非法占用的土地上新建的房屋。</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超过省、自治区、直辖市规定的标准，多占的土地以非法占用土地论处。</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 xml:space="preserve">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非法批准征收、使用土地，对当事人造成损失的，依法应当承担赔偿责任。</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【行政法规】《中华人民共和国土地管理法实施条例》（2014年7月国务院令第653号修订）</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6"/>
                <w:kern w:val="0"/>
                <w:sz w:val="20"/>
                <w:szCs w:val="20"/>
              </w:rPr>
            </w:pPr>
            <w:r>
              <w:rPr>
                <w:rFonts w:hint="eastAsia" w:ascii="宋体" w:hAnsi="宋体" w:eastAsia="宋体"/>
                <w:color w:val="auto"/>
                <w:spacing w:val="0"/>
                <w:kern w:val="0"/>
                <w:sz w:val="20"/>
                <w:szCs w:val="20"/>
              </w:rPr>
              <w:t xml:space="preserve">第十七条  </w:t>
            </w:r>
            <w:r>
              <w:rPr>
                <w:rFonts w:hint="eastAsia" w:ascii="宋体" w:hAnsi="宋体" w:eastAsia="宋体"/>
                <w:color w:val="auto"/>
                <w:spacing w:val="-6"/>
                <w:kern w:val="0"/>
                <w:sz w:val="20"/>
                <w:szCs w:val="20"/>
              </w:rPr>
              <w:t>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第三十四条 违反本条例第十七条的规定，在土地利用总体规划确定的禁止开垦区内进行开垦的，由县级以上人民政府土地行政主管部门责令限期改正；逾期不改正的，依照《土地管理法》第七十六条的规定处罚。</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第四十二条 依照《土地管理法》第七十六条的规定处以罚款的，罚款额为非法占用土地每平方米30元以下。</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【行政法规】《基本农田保护条例》(2011年1月国务院令第588号修改)</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第三十条 违反本条例规定，有下列行为之一的，依照《中华人民共和国土地管理法》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【地方性法规】《宁夏回族自治区土地管理条例》（2012年</w:t>
            </w:r>
            <w:r>
              <w:rPr>
                <w:rFonts w:hint="eastAsia" w:ascii="宋体" w:hAnsi="宋体" w:eastAsia="宋体"/>
                <w:color w:val="auto"/>
                <w:spacing w:val="0"/>
                <w:kern w:val="0"/>
                <w:sz w:val="20"/>
                <w:szCs w:val="20"/>
                <w:lang w:eastAsia="zh-CN"/>
              </w:rPr>
              <w:t>宁夏回族自治区人民代表大会常务委员会第</w:t>
            </w:r>
            <w:r>
              <w:rPr>
                <w:rFonts w:hint="eastAsia" w:ascii="宋体" w:hAnsi="宋体" w:eastAsia="宋体"/>
                <w:color w:val="auto"/>
                <w:spacing w:val="0"/>
                <w:kern w:val="0"/>
                <w:sz w:val="20"/>
                <w:szCs w:val="20"/>
                <w:lang w:val="en-US" w:eastAsia="zh-CN"/>
              </w:rPr>
              <w:t>29次会议</w:t>
            </w:r>
            <w:r>
              <w:rPr>
                <w:rFonts w:hint="eastAsia" w:ascii="宋体" w:hAnsi="宋体" w:eastAsia="宋体"/>
                <w:color w:val="auto"/>
                <w:spacing w:val="0"/>
                <w:kern w:val="0"/>
                <w:sz w:val="20"/>
                <w:szCs w:val="20"/>
              </w:rPr>
              <w:t>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第七十三条  有下列行为之一的，按照非法占用土地处罚：(一)未经批准或者采取冒名顶替、谎报地类、化整为零等手段骗取批准占用土地的；(二)超过批准用地数量或者不按照批准位置使用土地的；(三)土地使用权被依法收回，拒不交还土地的；(四)临时使用土地期满，逾期不归还又不办理续用手续的；(五)其他非法占用土地的。未经批准在划拨使用的土地上翻建、改建、扩建建筑物、构筑物的，以非法占用土地论处。单位和个人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并可对非法占用的土地按基本农田每平方米十至三十元，一般耕地、林地每平方米五至二十元，其他土地每平方米二至十元处以罚款；对非法占用土地单位的直接负责的主管人员和其他直接责任人员，依法给予行政处分；构成犯罪的，依法追究刑事责任。非法开垦或者在土地利用总体规划确定的禁止开垦区内开垦荒地、荒山、荒滩的，责令限期改正；逾期不改正的，依照前款的规定处罚。农村村民非法占用土地建住宅或者建造其他建筑物、构筑物的，责令退还非法占用的土地，限期拆除在非法占用土地上新建的房屋或者其他建筑物、构筑物。超过批准的数量占用土地，多占的土地以非法占用土地论处。</w:t>
            </w:r>
          </w:p>
        </w:tc>
        <w:tc>
          <w:tcPr>
            <w:tcW w:w="1119"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lang w:eastAsia="zh-CN"/>
              </w:rPr>
            </w:pPr>
            <w:r>
              <w:rPr>
                <w:rFonts w:hint="eastAsia" w:ascii="宋体" w:hAnsi="宋体" w:eastAsia="宋体"/>
                <w:color w:val="auto"/>
                <w:spacing w:val="0"/>
                <w:sz w:val="20"/>
                <w:szCs w:val="20"/>
                <w:lang w:eastAsia="zh-CN"/>
              </w:rPr>
              <w:t>银川市自然资源局</w:t>
            </w:r>
          </w:p>
        </w:tc>
        <w:tc>
          <w:tcPr>
            <w:tcW w:w="692"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highlight w:val="none"/>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14</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0" w:lineRule="exact"/>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对影响市容市貌行为随地吐痰、便溺，乱扔果皮、纸屑和烟头等废弃物的；在城市建筑物、设施以及树木上涂写、刻画或者未经批准张挂、张贴宣传品等的；在城市人民政府规定的街道的临街建筑物的阳台和窗外，堆放、吊挂有碍市容的物品的；不按规定的时间、地点、方式，倾倒垃圾、粪便的；不履行卫生责任区清扫保洁义务或者不按规定清运、处理垃圾和粪便的；运输液体、散装货物不作密封、包扎、覆盖，造成泄漏、遗撒的；临街工地不设置护栏或者不作遮挡、停工场地不及时整理并作必要覆盖或者竣工后不及时清理和平整场地，影响市容和环境卫生的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【行政法规】《城市市容和环境卫生管理条例》（2017年3月国务院令第676号修正）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【地方性法规】《宁夏回族自治区市容环境卫生管理条例》（2004年11月宁夏回族自治区人民代表大会常务委员会公告第15号）</w:t>
            </w:r>
            <w:r>
              <w:rPr>
                <w:rFonts w:hint="eastAsia" w:ascii="宋体" w:hAnsi="宋体" w:eastAsia="宋体"/>
                <w:color w:val="auto"/>
                <w:spacing w:val="0"/>
                <w:kern w:val="0"/>
                <w:sz w:val="20"/>
                <w:szCs w:val="20"/>
              </w:rPr>
              <w:br w:type="textWrapping"/>
            </w:r>
            <w:r>
              <w:rPr>
                <w:rFonts w:hint="eastAsia" w:ascii="宋体" w:hAnsi="宋体" w:eastAsia="宋体"/>
                <w:color w:val="auto"/>
                <w:spacing w:val="0"/>
                <w:kern w:val="0"/>
                <w:sz w:val="20"/>
                <w:szCs w:val="20"/>
              </w:rPr>
              <w:t xml:space="preserve">     第三十条 禁止下列影响环境卫生的行为：（一）在公共场所随地吐痰、擤鼻涕、便溺；（二）在公共场所乱扔烟头、纸屑、果皮（核）、口香糖、饮料瓶、废旧电池和一次性餐具、塑料等废弃物；（三）在街巷和居住区焚烧垃圾、枯枝树叶和冥纸或者抛撒冥纸；（四）乱倒垃圾、污水、渣土、粪便等污物；（五）占道从事露天烧烤、餐饮等经营活动；（六）在街巷和居住区从事屠宰家畜家禽和加工肉类、水产品等影响公共环境卫生的经营活动；（七）在街道两侧从事经营性废品收购和废弃物接纳作业；（八）影响环境卫生的其他行为。</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第三十一条 从事车辆清洗、修理的单位和个人，不得向道路排泄污水或者堆放垃圾。</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公共绿地的养护单位或者作业单位在道路两侧栽培修剪树木、花草或者花卉等产生的枝叶、泥土应当及时清除。</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在城市道路上进行作业产生的污物，作业单位应当随时清运，并负责清洗被污染的路面。</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第三十二条 运输砂石、泥浆、粪便、渣土等易撒物品和生活垃圾的车辆，运输人应当采取密闭或者覆盖措施，防止所运输的易撒物品和生活垃圾向道路泄漏或者扬散。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第三十三条 禁止在城市市区内饲养鸡、鸭、鹅、兔、羊、猪等家禽家畜。</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居民饲养信鸽的，应当采取措施防止影响居民生活和市容环境卫生。</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严格限制居民饲养宠物犬，饲养宠物犬应当遵守下列规定:(一)不得携犬进入市场、商场、饭店(馆)、公园、公共绿地、医院、</w:t>
            </w:r>
            <w:r>
              <w:rPr>
                <w:rFonts w:hint="eastAsia" w:ascii="宋体" w:hAnsi="宋体"/>
                <w:color w:val="auto"/>
                <w:spacing w:val="0"/>
                <w:kern w:val="0"/>
                <w:sz w:val="20"/>
                <w:szCs w:val="20"/>
                <w:lang w:eastAsia="zh-CN"/>
              </w:rPr>
              <w:t>银古路街</w:t>
            </w:r>
            <w:r>
              <w:rPr>
                <w:rFonts w:hint="eastAsia" w:ascii="宋体" w:hAnsi="宋体" w:eastAsia="宋体"/>
                <w:color w:val="auto"/>
                <w:spacing w:val="0"/>
                <w:kern w:val="0"/>
                <w:sz w:val="20"/>
                <w:szCs w:val="20"/>
              </w:rPr>
              <w:t>体育娱乐场所、展览馆等公共场所;(二)不得携犬乘坐公共交通工具;(三)宠物犬在户外排泄粪便的，携犬人应当立即清除。</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具体管理办法由城市人民政府制定。</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第四十九条 有下列情形之一的，给予行政处罚：（一）个人违反第三十条（一）、（二）、（三）项规定行为之一的，给予警告，并可处五元至五十元的罚款；（二）违反第三十条（四）、（五）、（六）、（七）项规定行为之一的，责令限期改正，给予警告，并可处以五十元至五百元的罚款；（三）经营者或者作业单位有第三十一条规定行为之一的，责令限期改正，给予警告；逾期拒不改正的，处以一百元至一千元的罚款；（四）运输人违反第三十二条规定，向道路泄漏或者扬散所运输的易撒物品和生活垃圾的，处以二百元至一千元的罚款；（五）单位或者个人违反第三十三条第一款规定，在市区内饲养家禽家畜的，责令限期改正，给予警告；逾期拒不改正的，处以二百元至一千元的罚款；（六）宠物犬饲养人违反第三十三条第三款规定行为之一的，给予警告，并可处十元至五十元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pStyle w:val="4"/>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15</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b/>
                <w:bCs/>
                <w:color w:val="auto"/>
                <w:spacing w:val="0"/>
                <w:sz w:val="20"/>
                <w:szCs w:val="20"/>
              </w:rPr>
            </w:pPr>
            <w:r>
              <w:rPr>
                <w:rFonts w:hint="eastAsia" w:ascii="宋体" w:hAnsi="宋体" w:eastAsia="宋体"/>
                <w:color w:val="auto"/>
                <w:spacing w:val="0"/>
                <w:sz w:val="20"/>
                <w:szCs w:val="20"/>
              </w:rPr>
              <w:t>对建设单位和个人未经批准进行临时建设、未按照批准内容进行临时建设、临时建筑物、构筑物超过批准权限不拆除的处罚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【法律】《中华人民共和国城乡规划法》（2019年4月中华人民共和国主席令第29号第二次修正）</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第四十四条第一款 在城市、镇规划区内进行临时建设的，应当经城市、市人民政府城乡规划主管部门批准。临时建设影响近期建设规划或者控制性详细规划的实施以及交通、市容、安全等的，不得批准。</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第六十六条 建设单位或者个人有下列行为之一的，由所在地城市、市人民政府城乡规划主管部门责令限期拆除，可以并处临时建设工程造价一倍以下的罚款:（一）未经批准进行临时建设的；（二）未按照批准内容进行临时建设的；（三）临时建筑物、构筑物超过批准期限不拆除的。</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bCs/>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16</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b/>
                <w:bCs/>
                <w:color w:val="auto"/>
                <w:spacing w:val="0"/>
                <w:sz w:val="20"/>
                <w:szCs w:val="20"/>
              </w:rPr>
            </w:pPr>
            <w:r>
              <w:rPr>
                <w:rFonts w:hint="eastAsia" w:ascii="宋体" w:hAnsi="宋体" w:eastAsia="宋体"/>
                <w:color w:val="auto"/>
                <w:spacing w:val="0"/>
                <w:sz w:val="20"/>
                <w:szCs w:val="20"/>
              </w:rPr>
              <w:t>未取得建设工程规划许可证或者未按照建设工程规划许可证的规定进行建设的处罚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【法律】《中华人民共和国城乡规划法》</w:t>
            </w:r>
            <w:r>
              <w:rPr>
                <w:rFonts w:hint="eastAsia" w:ascii="宋体" w:hAnsi="宋体" w:eastAsia="宋体"/>
                <w:color w:val="auto"/>
                <w:spacing w:val="0"/>
                <w:sz w:val="20"/>
                <w:szCs w:val="20"/>
              </w:rPr>
              <w:t>（2019年4月中华人民共和国主席令第29号第二次修正）</w:t>
            </w:r>
          </w:p>
          <w:p>
            <w:pPr>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【地方性法规】 《宁夏回族自治区实施&lt;中华人民共和国城乡规划法&gt;办法》（2014年</w:t>
            </w:r>
            <w:r>
              <w:rPr>
                <w:rFonts w:hint="eastAsia" w:ascii="宋体" w:hAnsi="宋体" w:eastAsia="宋体"/>
                <w:color w:val="auto"/>
                <w:spacing w:val="0"/>
                <w:kern w:val="0"/>
                <w:sz w:val="20"/>
                <w:szCs w:val="20"/>
                <w:lang w:eastAsia="zh-CN"/>
              </w:rPr>
              <w:t>宁夏回族自治区人民代表大会常务委员会公告第</w:t>
            </w:r>
            <w:r>
              <w:rPr>
                <w:rFonts w:hint="eastAsia" w:ascii="宋体" w:hAnsi="宋体" w:eastAsia="宋体"/>
                <w:color w:val="auto"/>
                <w:spacing w:val="0"/>
                <w:kern w:val="0"/>
                <w:sz w:val="20"/>
                <w:szCs w:val="20"/>
                <w:lang w:val="en-US" w:eastAsia="zh-CN"/>
              </w:rPr>
              <w:t>9号</w:t>
            </w:r>
            <w:r>
              <w:rPr>
                <w:rFonts w:hint="eastAsia" w:ascii="宋体" w:hAnsi="宋体" w:eastAsia="宋体"/>
                <w:color w:val="auto"/>
                <w:spacing w:val="0"/>
                <w:kern w:val="0"/>
                <w:sz w:val="20"/>
                <w:szCs w:val="20"/>
              </w:rPr>
              <w:t>）</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bCs/>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17</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kern w:val="0"/>
                <w:sz w:val="20"/>
                <w:szCs w:val="20"/>
              </w:rPr>
            </w:pPr>
            <w:r>
              <w:rPr>
                <w:rFonts w:hint="eastAsia" w:ascii="宋体" w:hAnsi="宋体" w:eastAsia="宋体"/>
                <w:color w:val="auto"/>
                <w:spacing w:val="0"/>
                <w:sz w:val="20"/>
                <w:szCs w:val="20"/>
              </w:rPr>
              <w:t>对卫生责任区责任人不履责的处罚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jc w:val="left"/>
              <w:rPr>
                <w:rFonts w:hint="eastAsia" w:ascii="宋体" w:hAnsi="宋体" w:eastAsia="宋体"/>
                <w:color w:val="auto"/>
                <w:spacing w:val="0"/>
                <w:sz w:val="20"/>
                <w:szCs w:val="20"/>
              </w:rPr>
            </w:pPr>
            <w:r>
              <w:rPr>
                <w:rFonts w:hint="eastAsia" w:ascii="宋体" w:hAnsi="宋体" w:eastAsia="宋体"/>
                <w:color w:val="auto"/>
                <w:spacing w:val="0"/>
                <w:sz w:val="20"/>
                <w:szCs w:val="20"/>
              </w:rPr>
              <w:t>【地方性法规】《宁夏回族自治区市容环境卫生管理条例》（2004年11月宁夏回族自治区人民代表大会常务委员会公告第15号）</w:t>
            </w:r>
          </w:p>
          <w:p>
            <w:pPr>
              <w:pStyle w:val="2"/>
              <w:ind w:firstLine="400" w:firstLineChars="200"/>
              <w:rPr>
                <w:rFonts w:hint="eastAsia" w:ascii="宋体" w:hAnsi="宋体" w:eastAsia="宋体" w:cs="宋体"/>
                <w:color w:val="auto"/>
                <w:spacing w:val="0"/>
                <w:sz w:val="20"/>
                <w:szCs w:val="20"/>
                <w:shd w:val="clear" w:color="auto" w:fill="FFFFFF"/>
              </w:rPr>
            </w:pPr>
            <w:r>
              <w:rPr>
                <w:rFonts w:hint="eastAsia" w:ascii="宋体" w:hAnsi="宋体" w:eastAsia="宋体" w:cs="宋体"/>
                <w:color w:val="auto"/>
                <w:spacing w:val="0"/>
                <w:sz w:val="20"/>
                <w:szCs w:val="20"/>
                <w:shd w:val="clear" w:color="auto" w:fill="FFFFFF"/>
              </w:rPr>
              <w:t>第四条 自治区人民政府建设行政主管部门负责自治区市容环境卫生监督管理工作。</w:t>
            </w:r>
          </w:p>
          <w:p>
            <w:pPr>
              <w:pStyle w:val="2"/>
              <w:ind w:firstLine="400" w:firstLineChars="200"/>
              <w:rPr>
                <w:rFonts w:hint="eastAsia" w:ascii="宋体" w:hAnsi="宋体" w:eastAsia="宋体" w:cs="宋体"/>
                <w:color w:val="auto"/>
                <w:spacing w:val="0"/>
                <w:sz w:val="20"/>
                <w:szCs w:val="20"/>
                <w:shd w:val="clear" w:color="auto" w:fill="FFFFFF"/>
              </w:rPr>
            </w:pPr>
            <w:r>
              <w:rPr>
                <w:rFonts w:hint="eastAsia" w:ascii="宋体" w:hAnsi="宋体" w:eastAsia="宋体" w:cs="宋体"/>
                <w:color w:val="auto"/>
                <w:spacing w:val="0"/>
                <w:sz w:val="20"/>
                <w:szCs w:val="20"/>
                <w:shd w:val="clear" w:color="auto" w:fill="FFFFFF"/>
              </w:rPr>
              <w:t>市、县、市辖区人民政府负责市容环境卫生管理工作的部门（以下简称市容环境卫生行政主管部门），负责本行政区域内的市容环境卫生监督管理工作。</w:t>
            </w:r>
          </w:p>
          <w:p>
            <w:pPr>
              <w:ind w:firstLine="400" w:firstLineChars="200"/>
              <w:jc w:val="left"/>
              <w:rPr>
                <w:rFonts w:hint="eastAsia" w:ascii="宋体" w:hAnsi="宋体" w:eastAsia="宋体"/>
                <w:color w:val="auto"/>
                <w:spacing w:val="0"/>
                <w:kern w:val="0"/>
                <w:sz w:val="20"/>
                <w:szCs w:val="20"/>
              </w:rPr>
            </w:pPr>
            <w:r>
              <w:rPr>
                <w:rFonts w:hint="eastAsia" w:ascii="宋体" w:hAnsi="宋体" w:eastAsia="宋体"/>
                <w:color w:val="auto"/>
                <w:spacing w:val="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bCs/>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18</w:t>
            </w:r>
          </w:p>
        </w:tc>
        <w:tc>
          <w:tcPr>
            <w:tcW w:w="1883" w:type="dxa"/>
            <w:tcBorders>
              <w:top w:val="single" w:color="auto" w:sz="4" w:space="0"/>
              <w:left w:val="nil"/>
              <w:bottom w:val="single" w:color="auto" w:sz="4" w:space="0"/>
              <w:right w:val="single" w:color="auto" w:sz="4" w:space="0"/>
            </w:tcBorders>
            <w:vAlign w:val="center"/>
          </w:tcPr>
          <w:p>
            <w:pPr>
              <w:widowControl/>
              <w:textAlignment w:val="center"/>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对采取虚报、隐瞒、伪造等手段，骗取享受城乡居民最低生活保障待遇等情形的处罚</w:t>
            </w:r>
          </w:p>
        </w:tc>
        <w:tc>
          <w:tcPr>
            <w:tcW w:w="8989" w:type="dxa"/>
            <w:tcBorders>
              <w:top w:val="single" w:color="auto" w:sz="4" w:space="0"/>
              <w:left w:val="nil"/>
              <w:bottom w:val="single" w:color="auto" w:sz="4" w:space="0"/>
              <w:right w:val="single" w:color="auto" w:sz="4" w:space="0"/>
            </w:tcBorders>
            <w:vAlign w:val="center"/>
          </w:tcPr>
          <w:p>
            <w:pPr>
              <w:widowControl/>
              <w:ind w:firstLine="400" w:firstLineChars="200"/>
              <w:jc w:val="left"/>
              <w:textAlignment w:val="center"/>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【行政法规】《城市居民最低生活保障条例》（1999年国务院令第271号）</w:t>
            </w:r>
          </w:p>
          <w:p>
            <w:pPr>
              <w:widowControl/>
              <w:ind w:firstLine="400" w:firstLineChars="200"/>
              <w:jc w:val="left"/>
              <w:textAlignment w:val="center"/>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第十条第一款 享受城市居民最低生活保障待遇的城市居民家庭人均收入情况发生变化的，应当及时通过居民委员会告知管理审批机关，办理停发、减发或者增发城市居民最低生活保障待遇的手续。第二款 管理审批机关应当对享受城市居民最低生活保障待遇的城市居民的家庭收入情况定期进行核查。</w:t>
            </w:r>
          </w:p>
          <w:p>
            <w:pPr>
              <w:widowControl/>
              <w:ind w:firstLine="400" w:firstLineChars="200"/>
              <w:jc w:val="left"/>
              <w:textAlignment w:val="center"/>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第十四条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二）在享受城市居民最低生活保障待遇期间家庭收入情况好转，不按规定告知管理审批机关，继续享受城市居民最低生活保障待遇的。</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kern w:val="0"/>
                <w:sz w:val="20"/>
                <w:szCs w:val="20"/>
                <w:highlight w:val="none"/>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19</w:t>
            </w:r>
          </w:p>
        </w:tc>
        <w:tc>
          <w:tcPr>
            <w:tcW w:w="1883" w:type="dxa"/>
            <w:tcBorders>
              <w:top w:val="single" w:color="auto" w:sz="4" w:space="0"/>
              <w:left w:val="nil"/>
              <w:bottom w:val="single" w:color="auto" w:sz="4" w:space="0"/>
              <w:right w:val="single" w:color="auto" w:sz="4" w:space="0"/>
            </w:tcBorders>
            <w:vAlign w:val="center"/>
          </w:tcPr>
          <w:p>
            <w:pPr>
              <w:widowControl/>
              <w:textAlignment w:val="center"/>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对责任人不履行门前“三包”责任的处罚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【行政法规】《城市市容和环境卫生管理条例》（2017年3月国务院令第676号第二次修订）</w:t>
            </w:r>
          </w:p>
          <w:p>
            <w:pPr>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第三十四条第五项 有下列行为之一者，城市人民政府市容环境卫生行政主管部门或者其委托的单位除责令其纠正违法行为、采取补救措施外，可以并处警告、罚款：（五）不履行卫生责任区清扫保洁义务或者不按规定清运、处理垃圾和粪便的。</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【地方性法规】《宁夏回族自治区市容环境卫生管理条例》</w:t>
            </w:r>
            <w:r>
              <w:rPr>
                <w:rFonts w:hint="eastAsia" w:ascii="宋体" w:hAnsi="宋体" w:eastAsia="宋体"/>
                <w:color w:val="auto"/>
                <w:spacing w:val="0"/>
                <w:sz w:val="20"/>
                <w:szCs w:val="20"/>
              </w:rPr>
              <w:t>（2004年11月宁夏回族自治区人民代表大会常务委员会公告第15号）</w:t>
            </w:r>
          </w:p>
          <w:p>
            <w:pPr>
              <w:widowControl/>
              <w:ind w:firstLine="400" w:firstLineChars="200"/>
              <w:textAlignment w:val="center"/>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bCs/>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default" w:ascii="宋体" w:hAnsi="宋体" w:eastAsia="宋体"/>
                <w:color w:val="auto"/>
                <w:spacing w:val="0"/>
                <w:kern w:val="0"/>
                <w:sz w:val="20"/>
                <w:szCs w:val="20"/>
                <w:lang w:val="en-US" w:eastAsia="zh-CN"/>
              </w:rPr>
            </w:pPr>
            <w:r>
              <w:rPr>
                <w:rFonts w:hint="eastAsia" w:ascii="宋体" w:hAnsi="宋体"/>
                <w:color w:val="auto"/>
                <w:spacing w:val="0"/>
                <w:kern w:val="0"/>
                <w:sz w:val="20"/>
                <w:szCs w:val="20"/>
                <w:lang w:val="en-US" w:eastAsia="zh-CN"/>
              </w:rPr>
              <w:t>20</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对从事城市生活垃圾经营性清扫、收集、运输的企业在运输过程中沿途丢弃、遗撒生活垃圾的处罚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【部门规章】《城市生活垃圾管理办法》（2015年建设部令第24号修正）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bCs/>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default" w:ascii="宋体" w:hAnsi="宋体" w:eastAsia="宋体"/>
                <w:color w:val="auto"/>
                <w:spacing w:val="0"/>
                <w:kern w:val="0"/>
                <w:sz w:val="20"/>
                <w:szCs w:val="20"/>
                <w:lang w:val="en-US" w:eastAsia="zh-CN"/>
              </w:rPr>
            </w:pPr>
            <w:r>
              <w:rPr>
                <w:rFonts w:hint="eastAsia" w:ascii="宋体" w:hAnsi="宋体"/>
                <w:color w:val="auto"/>
                <w:spacing w:val="0"/>
                <w:kern w:val="0"/>
                <w:sz w:val="20"/>
                <w:szCs w:val="20"/>
                <w:lang w:val="en-US" w:eastAsia="zh-CN"/>
              </w:rPr>
              <w:t>21</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在公共场所、未成年人活动场所、禁烟区吸烟的处罚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【地方性法规】《宁夏回族自治区爱国卫生工作条例》（2003年7月宁夏回族自治区人民代表大会常务委员会公告第2号）</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第二十九条 禁止在医院、影剧院、候车（机、船）室、大中型商场、图书馆、会议厅（室）、体育场馆等公共场所，公共交通工具内，中学、小学、幼儿园、托儿所的教室和活动室，以及未成年人活动的其他场所吸烟。</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在禁止吸烟的场所内有条件的可以设置吸烟区，在禁烟区应当设置禁止吸烟的标志。</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第三十九条 违反本条例，有第二十五条、第二十六条、第二十九条规定行为之一的，由县级以上人民政府负责市容环境卫生行政主管部门依照有关法规、规章给予行政处罚；法规、规章没有规定的，给予警告，并对个人处以四十元至一百元的罚款；对单位处以一千元至五千元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kern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default" w:ascii="宋体" w:hAnsi="宋体" w:eastAsia="宋体"/>
                <w:color w:val="auto"/>
                <w:spacing w:val="0"/>
                <w:kern w:val="0"/>
                <w:sz w:val="20"/>
                <w:szCs w:val="20"/>
                <w:lang w:val="en-US" w:eastAsia="zh-CN"/>
              </w:rPr>
            </w:pPr>
            <w:r>
              <w:rPr>
                <w:rFonts w:hint="eastAsia" w:ascii="宋体" w:hAnsi="宋体"/>
                <w:color w:val="auto"/>
                <w:spacing w:val="0"/>
                <w:kern w:val="0"/>
                <w:sz w:val="20"/>
                <w:szCs w:val="20"/>
                <w:lang w:val="en-US" w:eastAsia="zh-CN"/>
              </w:rPr>
              <w:t>22</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未经批准擅自建设等行为的处罚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【法律】《中华人民共和国城乡规划法》（2019年4月</w:t>
            </w:r>
            <w:r>
              <w:rPr>
                <w:rFonts w:hint="eastAsia" w:ascii="宋体" w:hAnsi="宋体" w:eastAsia="宋体"/>
                <w:color w:val="auto"/>
                <w:spacing w:val="0"/>
                <w:sz w:val="20"/>
                <w:szCs w:val="20"/>
              </w:rPr>
              <w:t>主席令第29号</w:t>
            </w:r>
            <w:r>
              <w:rPr>
                <w:rFonts w:hint="eastAsia" w:ascii="宋体" w:hAnsi="宋体" w:eastAsia="宋体"/>
                <w:color w:val="auto"/>
                <w:spacing w:val="0"/>
                <w:kern w:val="0"/>
                <w:sz w:val="20"/>
                <w:szCs w:val="20"/>
              </w:rPr>
              <w:t>修正）</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城市、县人民政府城乡规划主管部门或者省、自治区、直辖市人民政府确定的镇人民政府应当依法将经审定的修建性详细规划、建设工程设计方案的总平面图予以公布。</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在乡、村庄规划区内使用原有宅基地进行农村村民住宅建设的规划管理办法，由省、自治区、直辖市制定。</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 建设单位或者个人在取得乡村建设规划许可证后，方可办理用地审批手续。</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第六十五条 在乡、村庄规划区内未依法取得乡村建设规划许可证或者未按照乡村建设规划许可证的规定进行建设的，由乡、镇人民政府责令停止建设、限期改正；逾期不改正的，可以拆除。</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【行政法规】《城市道路管理条例》（2019年</w:t>
            </w:r>
            <w:r>
              <w:rPr>
                <w:rFonts w:hint="eastAsia" w:ascii="宋体" w:hAnsi="宋体" w:eastAsia="宋体"/>
                <w:color w:val="auto"/>
                <w:spacing w:val="0"/>
                <w:sz w:val="20"/>
                <w:szCs w:val="20"/>
              </w:rPr>
              <w:t>国务院令第710号修订</w:t>
            </w:r>
            <w:r>
              <w:rPr>
                <w:rFonts w:hint="eastAsia" w:ascii="宋体" w:hAnsi="宋体" w:eastAsia="宋体"/>
                <w:color w:val="auto"/>
                <w:spacing w:val="0"/>
                <w:kern w:val="0"/>
                <w:sz w:val="20"/>
                <w:szCs w:val="20"/>
              </w:rPr>
              <w:t>）</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第四十二条 违反本条例第二十七条规定，或者有下列行为之一的，由市政工程行政主管部门或者其他有关部门责令限期改正，可以处以2万元以下的罚款；造成损失的，应当依法承担赔偿责任。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lang w:val="en-US" w:eastAsia="zh-CN"/>
              </w:rPr>
            </w:pPr>
            <w:r>
              <w:rPr>
                <w:rFonts w:hint="eastAsia" w:ascii="宋体" w:hAnsi="宋体" w:eastAsia="宋体"/>
                <w:color w:val="auto"/>
                <w:spacing w:val="0"/>
                <w:kern w:val="0"/>
                <w:sz w:val="20"/>
                <w:szCs w:val="20"/>
              </w:rPr>
              <w:t>【地方性法规】《宁夏回族自治区实施&lt;中华人民共和国城乡规划法&gt;办法》（2014年</w:t>
            </w:r>
            <w:r>
              <w:rPr>
                <w:rFonts w:hint="eastAsia" w:ascii="宋体" w:hAnsi="宋体" w:eastAsia="宋体"/>
                <w:color w:val="auto"/>
                <w:spacing w:val="0"/>
                <w:kern w:val="0"/>
                <w:sz w:val="20"/>
                <w:szCs w:val="20"/>
                <w:lang w:eastAsia="zh-CN"/>
              </w:rPr>
              <w:t>宁夏回族自治区人民代表大会常务委员会公告第</w:t>
            </w:r>
            <w:r>
              <w:rPr>
                <w:rFonts w:hint="eastAsia" w:ascii="宋体" w:hAnsi="宋体" w:eastAsia="宋体"/>
                <w:color w:val="auto"/>
                <w:spacing w:val="0"/>
                <w:kern w:val="0"/>
                <w:sz w:val="20"/>
                <w:szCs w:val="20"/>
                <w:lang w:val="en-US" w:eastAsia="zh-CN"/>
              </w:rPr>
              <w:t>9号)</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1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县级以上地方人民政府城乡规划主管部门</w:t>
            </w:r>
          </w:p>
        </w:tc>
        <w:tc>
          <w:tcPr>
            <w:tcW w:w="692"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kern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spacing w:line="300" w:lineRule="exact"/>
              <w:ind w:firstLine="0" w:firstLineChars="0"/>
              <w:jc w:val="center"/>
              <w:rPr>
                <w:rFonts w:hint="default" w:ascii="宋体" w:hAnsi="宋体" w:eastAsia="宋体"/>
                <w:color w:val="auto"/>
                <w:spacing w:val="0"/>
                <w:kern w:val="0"/>
                <w:sz w:val="20"/>
                <w:szCs w:val="20"/>
                <w:lang w:val="en-US" w:eastAsia="zh-CN"/>
              </w:rPr>
            </w:pPr>
            <w:r>
              <w:rPr>
                <w:rFonts w:hint="eastAsia" w:ascii="宋体" w:hAnsi="宋体"/>
                <w:color w:val="auto"/>
                <w:spacing w:val="0"/>
                <w:kern w:val="0"/>
                <w:sz w:val="20"/>
                <w:szCs w:val="20"/>
                <w:lang w:val="en-US" w:eastAsia="zh-CN"/>
              </w:rPr>
              <w:t>23</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单位和个人未按规定缴纳城市生活垃圾处理费的处罚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 xml:space="preserve">【部门规章】《城市生活垃圾管理办法》（2015年住房和城乡建设部令24号） </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kern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N/>
              <w:bidi w:val="0"/>
              <w:adjustRightInd/>
              <w:snapToGrid/>
              <w:spacing w:line="240" w:lineRule="auto"/>
              <w:ind w:firstLine="0" w:firstLineChars="0"/>
              <w:jc w:val="center"/>
              <w:outlineLvl w:val="9"/>
              <w:rPr>
                <w:rFonts w:hint="default" w:ascii="宋体" w:hAnsi="宋体" w:eastAsia="宋体"/>
                <w:color w:val="auto"/>
                <w:spacing w:val="0"/>
                <w:kern w:val="0"/>
                <w:sz w:val="20"/>
                <w:szCs w:val="20"/>
                <w:highlight w:val="none"/>
                <w:lang w:val="en-US" w:eastAsia="zh-CN"/>
              </w:rPr>
            </w:pPr>
            <w:r>
              <w:rPr>
                <w:rFonts w:hint="eastAsia" w:ascii="宋体" w:hAnsi="宋体"/>
                <w:color w:val="auto"/>
                <w:spacing w:val="0"/>
                <w:kern w:val="0"/>
                <w:sz w:val="20"/>
                <w:szCs w:val="20"/>
                <w:highlight w:val="none"/>
                <w:lang w:val="en-US" w:eastAsia="zh-CN"/>
              </w:rPr>
              <w:t>24</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textAlignment w:val="center"/>
              <w:outlineLvl w:val="9"/>
              <w:rPr>
                <w:rFonts w:hint="eastAsia" w:ascii="宋体" w:hAnsi="宋体" w:eastAsia="宋体"/>
                <w:b/>
                <w:bCs/>
                <w:color w:val="auto"/>
                <w:spacing w:val="0"/>
                <w:sz w:val="20"/>
                <w:szCs w:val="20"/>
                <w:highlight w:val="none"/>
              </w:rPr>
            </w:pPr>
            <w:r>
              <w:rPr>
                <w:rFonts w:hint="eastAsia" w:ascii="宋体" w:hAnsi="宋体" w:eastAsia="宋体"/>
                <w:color w:val="auto"/>
                <w:spacing w:val="0"/>
                <w:kern w:val="0"/>
                <w:sz w:val="20"/>
                <w:szCs w:val="20"/>
                <w:highlight w:val="none"/>
              </w:rPr>
              <w:t>对物业服务企业将一个物业管理区域内的全部物业管理一并委托给他人的处罚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【行政法规】《物业管理条例》（2018年国务院令698号）</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【地方性法规】《宁夏回族自治区物业管理条例》 (2010年</w:t>
            </w:r>
            <w:r>
              <w:rPr>
                <w:rFonts w:hint="eastAsia" w:ascii="宋体" w:hAnsi="宋体" w:eastAsia="宋体"/>
                <w:color w:val="auto"/>
                <w:spacing w:val="0"/>
                <w:kern w:val="0"/>
                <w:sz w:val="20"/>
                <w:szCs w:val="20"/>
                <w:highlight w:val="none"/>
                <w:lang w:eastAsia="zh-CN"/>
              </w:rPr>
              <w:t>宁夏回族</w:t>
            </w:r>
            <w:r>
              <w:rPr>
                <w:rFonts w:hint="eastAsia" w:ascii="宋体" w:hAnsi="宋体" w:eastAsia="宋体"/>
                <w:color w:val="auto"/>
                <w:spacing w:val="0"/>
                <w:sz w:val="20"/>
                <w:szCs w:val="20"/>
                <w:highlight w:val="none"/>
              </w:rPr>
              <w:t>自治区人民代表大会常务委员会公告第81号</w:t>
            </w:r>
            <w:r>
              <w:rPr>
                <w:rFonts w:hint="eastAsia" w:ascii="宋体" w:hAnsi="宋体" w:eastAsia="宋体"/>
                <w:color w:val="auto"/>
                <w:spacing w:val="0"/>
                <w:kern w:val="0"/>
                <w:sz w:val="20"/>
                <w:szCs w:val="20"/>
                <w:highlight w:val="none"/>
              </w:rPr>
              <w:t>）</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sz w:val="20"/>
                <w:szCs w:val="20"/>
                <w:highlight w:val="none"/>
              </w:rPr>
            </w:pPr>
            <w:r>
              <w:rPr>
                <w:rFonts w:hint="eastAsia" w:ascii="宋体" w:hAnsi="宋体" w:eastAsia="宋体"/>
                <w:color w:val="auto"/>
                <w:spacing w:val="0"/>
                <w:kern w:val="0"/>
                <w:sz w:val="20"/>
                <w:szCs w:val="20"/>
                <w:highlight w:val="none"/>
              </w:rPr>
              <w:t>第五十二条 违反本条例的规定，物业服务企业将物业管理区域范围内的全部物业管理委托给他人的，由市、县（市、区）房地产行政主管部门依据职权责令限期改正，处以委托合同价款百分之三十以上百分之五十以下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bCs/>
                <w:color w:val="auto"/>
                <w:spacing w:val="0"/>
                <w:sz w:val="20"/>
                <w:szCs w:val="20"/>
                <w:highlight w:val="none"/>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eastAsia="宋体"/>
                <w:color w:val="auto"/>
                <w:spacing w:val="0"/>
                <w:sz w:val="20"/>
                <w:szCs w:val="20"/>
                <w:lang w:val="en-US" w:eastAsia="zh-CN"/>
              </w:rPr>
            </w:pPr>
            <w:r>
              <w:rPr>
                <w:rFonts w:hint="eastAsia" w:ascii="宋体" w:hAnsi="宋体" w:eastAsia="宋体"/>
                <w:color w:val="auto"/>
                <w:spacing w:val="0"/>
                <w:sz w:val="20"/>
                <w:szCs w:val="20"/>
                <w:lang w:val="en-US" w:eastAsia="zh-CN"/>
              </w:rPr>
              <w:t>25</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40" w:lineRule="auto"/>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对擅自占用城市规划绿地或者城市中已有绿地的处罚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40" w:lineRule="auto"/>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【行政法规】《城市绿化条例》（2017年国务院令第676号修订）</w:t>
            </w:r>
          </w:p>
          <w:p>
            <w:pPr>
              <w:keepNext w:val="0"/>
              <w:keepLines w:val="0"/>
              <w:pageBreakBefore w:val="0"/>
              <w:widowControl/>
              <w:kinsoku/>
              <w:wordWrap/>
              <w:overflowPunct/>
              <w:topLinePunct w:val="0"/>
              <w:autoSpaceDE w:val="0"/>
              <w:autoSpaceDN/>
              <w:bidi w:val="0"/>
              <w:adjustRightInd/>
              <w:snapToGrid/>
              <w:spacing w:line="240" w:lineRule="auto"/>
              <w:ind w:firstLine="400" w:firstLineChars="200"/>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第二十七条 未经同意擅自占用城市绿化用地的，由城市人民政府城市绿化行政主管部门责令限期退还、恢复原状，可以并处罚款；造成损失的，应当负赔偿责任。</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bCs/>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26</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对未经批准擅自取水或未依照批准的取水许可规定条件取水的处罚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【法律】《中华人民共和国水法》（2016年7月中华人民共和国主席令第48号第二次修正）</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【行政法规】《取水许可和水资源费征收管理条例》（2017年国务院令第676号修改）</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 xml:space="preserve">第四十八条 未经批准擅自取水，或者未依照批准的取水许可规定条件取水的，依照《中华人民共和国水法》第六十九条规定处罚；给他人造成妨碍或者损失的，应当排除妨碍、赔偿损失。 </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spacing w:val="0"/>
                <w:kern w:val="2"/>
                <w:sz w:val="20"/>
                <w:szCs w:val="20"/>
                <w:highlight w:val="yellow"/>
                <w:lang w:val="en-US" w:eastAsia="zh-CN" w:bidi="ar-SA"/>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27</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对侵占、毁坏水工程及水利设施、从事影响水利工程安全行为的处罚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【法律】《中华人民共和国水法》（2016年7月中华人民共和国主席令第48号第二次修正）</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spacing w:val="0"/>
                <w:kern w:val="2"/>
                <w:sz w:val="20"/>
                <w:szCs w:val="20"/>
                <w:highlight w:val="yellow"/>
                <w:lang w:val="en-US" w:eastAsia="zh-CN" w:bidi="ar-SA"/>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28</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对侵占、破坏水源和抗旱设施行为的处罚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【行政法规】《中华人民共和国抗旱条例》（2009年国务院第552号令）</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spacing w:val="0"/>
                <w:kern w:val="2"/>
                <w:sz w:val="20"/>
                <w:szCs w:val="20"/>
                <w:highlight w:val="yellow"/>
                <w:lang w:val="en-US" w:eastAsia="zh-CN" w:bidi="ar-SA"/>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29</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对未经批准，擅自在水工程管理范围内开采地下资源或者进行考古发掘等行为的处罚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【地方性法规】《宁夏回族自治区水工程管理条例》（2002年11月</w:t>
            </w:r>
            <w:r>
              <w:rPr>
                <w:rFonts w:hint="eastAsia" w:ascii="宋体" w:hAnsi="宋体" w:eastAsia="宋体"/>
                <w:color w:val="auto"/>
                <w:spacing w:val="0"/>
                <w:sz w:val="20"/>
                <w:szCs w:val="20"/>
                <w:highlight w:val="none"/>
              </w:rPr>
              <w:fldChar w:fldCharType="begin"/>
            </w:r>
            <w:r>
              <w:rPr>
                <w:rFonts w:hint="eastAsia" w:ascii="宋体" w:hAnsi="宋体" w:eastAsia="宋体"/>
                <w:color w:val="auto"/>
                <w:spacing w:val="0"/>
                <w:sz w:val="20"/>
                <w:szCs w:val="20"/>
                <w:highlight w:val="none"/>
              </w:rPr>
              <w:instrText xml:space="preserve"> HYPERLINK "http://conac.pkulaw.cn/cluster_form.aspx?Db=lar&amp;EncodingName=&amp;search_tj=fdep_id%7b3a82801" \t "http://conac.pkulaw.cn/_blank" </w:instrText>
            </w:r>
            <w:r>
              <w:rPr>
                <w:rFonts w:hint="eastAsia" w:ascii="宋体" w:hAnsi="宋体" w:eastAsia="宋体"/>
                <w:color w:val="auto"/>
                <w:spacing w:val="0"/>
                <w:sz w:val="20"/>
                <w:szCs w:val="20"/>
                <w:highlight w:val="none"/>
              </w:rPr>
              <w:fldChar w:fldCharType="separate"/>
            </w:r>
            <w:r>
              <w:rPr>
                <w:rFonts w:hint="eastAsia" w:ascii="宋体" w:hAnsi="宋体" w:eastAsia="宋体"/>
                <w:color w:val="auto"/>
                <w:spacing w:val="0"/>
                <w:sz w:val="20"/>
                <w:szCs w:val="20"/>
                <w:highlight w:val="none"/>
              </w:rPr>
              <w:t>宁夏回族自治区人</w:t>
            </w:r>
            <w:r>
              <w:rPr>
                <w:rFonts w:hint="eastAsia" w:ascii="宋体" w:hAnsi="宋体" w:eastAsia="宋体"/>
                <w:color w:val="auto"/>
                <w:spacing w:val="0"/>
                <w:sz w:val="20"/>
                <w:szCs w:val="20"/>
                <w:highlight w:val="none"/>
                <w:lang w:eastAsia="zh-CN"/>
              </w:rPr>
              <w:t>民代表</w:t>
            </w:r>
            <w:r>
              <w:rPr>
                <w:rFonts w:hint="eastAsia" w:ascii="宋体" w:hAnsi="宋体" w:eastAsia="宋体"/>
                <w:color w:val="auto"/>
                <w:spacing w:val="0"/>
                <w:sz w:val="20"/>
                <w:szCs w:val="20"/>
                <w:highlight w:val="none"/>
              </w:rPr>
              <w:t>大</w:t>
            </w:r>
            <w:r>
              <w:rPr>
                <w:rFonts w:hint="eastAsia" w:ascii="宋体" w:hAnsi="宋体" w:eastAsia="宋体"/>
                <w:color w:val="auto"/>
                <w:spacing w:val="0"/>
                <w:sz w:val="20"/>
                <w:szCs w:val="20"/>
                <w:highlight w:val="none"/>
              </w:rPr>
              <w:fldChar w:fldCharType="end"/>
            </w:r>
            <w:r>
              <w:rPr>
                <w:rFonts w:hint="eastAsia" w:ascii="宋体" w:hAnsi="宋体" w:eastAsia="宋体"/>
                <w:color w:val="auto"/>
                <w:spacing w:val="0"/>
                <w:sz w:val="20"/>
                <w:szCs w:val="20"/>
                <w:highlight w:val="none"/>
                <w:lang w:eastAsia="zh-CN"/>
              </w:rPr>
              <w:t>会常务委员会第</w:t>
            </w:r>
            <w:r>
              <w:rPr>
                <w:rFonts w:hint="eastAsia" w:ascii="宋体" w:hAnsi="宋体" w:eastAsia="宋体"/>
                <w:color w:val="auto"/>
                <w:spacing w:val="0"/>
                <w:sz w:val="20"/>
                <w:szCs w:val="20"/>
                <w:highlight w:val="none"/>
                <w:lang w:val="en-US" w:eastAsia="zh-CN"/>
              </w:rPr>
              <w:t>29次会议通过</w:t>
            </w:r>
            <w:r>
              <w:rPr>
                <w:rFonts w:hint="eastAsia" w:ascii="宋体" w:hAnsi="宋体" w:eastAsia="宋体"/>
                <w:color w:val="auto"/>
                <w:spacing w:val="0"/>
                <w:sz w:val="20"/>
                <w:szCs w:val="20"/>
                <w:highlight w:val="none"/>
              </w:rPr>
              <w:t>）</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第四十四条 违反本条例第二十七条、第二十八条、第二十九条第二款规定的，由县级以上人民政府水行政主管部门或者自治区水行政主管部门所属的水工程管理机构依据职权责令纠正违法行为，采取补救措施，没收违法所得，可以并处五万元以下罚款。</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第二十七条 水工程管理范围内，禁止下列行为：</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（一）扒口、爆破、建窑、筑坟、打井、开矿，修建房屋或者从事其他建筑活动；</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（二）弃置砂石淤泥、存放物料，倾倒垃圾、废渣、尾矿，掩埋污染水体的物体；</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（三）损毁水工程及其观测、通讯、供电、照明、交通、消防等附属设施；</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（四）在库区、蓄滞洪区、湖泊、堤坝或者渠堤上从事影响蓄洪、行洪活动；</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（五）向水域排放超过国家标准的污水，以爆炸、投毒、电击或者打坝等方式的捕捞活动；</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（六）在水闸工作桥、测水桥、渡槽、无路面的坝顶、堤顶上行驶车辆。但是维护水工程的车辆除外；</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（七）擅自操作水工程设备或者取用水；</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（八）其他妨碍水工程运行或者危及水工程安全的行为。</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第二十八条 未经县级以上人民政府水行政主管部门批准，在水工程管理范围内，不得从事下列活动：（一）钻探、采石、采砂、取土、淘金；（二）设置取用水设施、向水域排水、挖筑鱼池、水塘；（三）开采地下资源或者进行考古发掘；（四）在坝、渠、沟堤上修路；（五）砍伐水工程防护林木；（六）在通讯、供电等水利专用线路上搭接其他线路。</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第二十九条 县级以上人民政府水行政主管部门应当按照自治区人民政府有关规定，在水工程管理范围相邻地域划定水工程保护范围，并确定保护职责。</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在水工程保护范围内，禁止从事影响水工程运行和危害水工程安全的爆破、打井、采石、采砂、取土等活动。</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spacing w:val="0"/>
                <w:kern w:val="2"/>
                <w:sz w:val="20"/>
                <w:szCs w:val="20"/>
                <w:highlight w:val="yellow"/>
                <w:lang w:val="en-US" w:eastAsia="zh-CN" w:bidi="ar-SA"/>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30</w:t>
            </w:r>
          </w:p>
        </w:tc>
        <w:tc>
          <w:tcPr>
            <w:tcW w:w="1883" w:type="dxa"/>
            <w:tcBorders>
              <w:top w:val="single" w:color="auto" w:sz="4" w:space="0"/>
              <w:left w:val="nil"/>
              <w:bottom w:val="single" w:color="auto" w:sz="4" w:space="0"/>
              <w:right w:val="single" w:color="auto" w:sz="4" w:space="0"/>
            </w:tcBorders>
            <w:textDirection w:val="lrTb"/>
            <w:vAlign w:val="center"/>
          </w:tcPr>
          <w:p>
            <w:pPr>
              <w:widowControl/>
              <w:textAlignment w:val="center"/>
              <w:rPr>
                <w:rFonts w:hint="eastAsia" w:ascii="宋体" w:hAnsi="宋体" w:eastAsia="宋体"/>
                <w:color w:val="auto"/>
                <w:spacing w:val="0"/>
                <w:sz w:val="20"/>
                <w:szCs w:val="20"/>
              </w:rPr>
            </w:pPr>
            <w:r>
              <w:rPr>
                <w:rFonts w:hint="eastAsia" w:ascii="宋体" w:hAnsi="宋体" w:eastAsia="宋体"/>
                <w:color w:val="auto"/>
                <w:spacing w:val="0"/>
                <w:kern w:val="0"/>
                <w:sz w:val="20"/>
                <w:szCs w:val="20"/>
                <w:highlight w:val="none"/>
              </w:rPr>
              <w:t>对收购没有林木采伐许可证或者其他合法来源证明的木材行为的处罚</w:t>
            </w:r>
          </w:p>
        </w:tc>
        <w:tc>
          <w:tcPr>
            <w:tcW w:w="8989" w:type="dxa"/>
            <w:tcBorders>
              <w:top w:val="single" w:color="auto" w:sz="4" w:space="0"/>
              <w:left w:val="nil"/>
              <w:bottom w:val="single" w:color="auto" w:sz="4" w:space="0"/>
              <w:right w:val="single" w:color="auto" w:sz="4" w:space="0"/>
            </w:tcBorders>
            <w:textDirection w:val="lrTb"/>
            <w:vAlign w:val="center"/>
          </w:tcPr>
          <w:p>
            <w:pPr>
              <w:ind w:firstLine="400" w:firstLineChars="200"/>
              <w:rPr>
                <w:rFonts w:hint="eastAsia" w:ascii="宋体" w:hAnsi="宋体" w:eastAsia="宋体"/>
                <w:color w:val="auto"/>
                <w:spacing w:val="0"/>
                <w:sz w:val="20"/>
                <w:szCs w:val="20"/>
                <w:highlight w:val="none"/>
              </w:rPr>
            </w:pPr>
            <w:r>
              <w:rPr>
                <w:rFonts w:hint="eastAsia" w:ascii="宋体" w:hAnsi="宋体" w:eastAsia="宋体"/>
                <w:color w:val="auto"/>
                <w:spacing w:val="0"/>
                <w:kern w:val="0"/>
                <w:sz w:val="20"/>
                <w:szCs w:val="20"/>
                <w:highlight w:val="none"/>
              </w:rPr>
              <w:t>【行政法规】《中华人民共和国森林法实施条例》</w:t>
            </w:r>
            <w:r>
              <w:rPr>
                <w:rFonts w:hint="eastAsia" w:ascii="宋体" w:hAnsi="宋体" w:eastAsia="宋体"/>
                <w:color w:val="auto"/>
                <w:spacing w:val="0"/>
                <w:sz w:val="20"/>
                <w:szCs w:val="20"/>
                <w:highlight w:val="none"/>
              </w:rPr>
              <w:t>（2018年3月国务院令第698号第三次修订）</w:t>
            </w:r>
          </w:p>
          <w:p>
            <w:pPr>
              <w:widowControl/>
              <w:ind w:firstLine="400" w:firstLineChars="200"/>
              <w:textAlignment w:val="center"/>
              <w:rPr>
                <w:rFonts w:hint="eastAsia" w:ascii="宋体" w:hAnsi="宋体" w:eastAsia="宋体"/>
                <w:color w:val="auto"/>
                <w:spacing w:val="0"/>
                <w:sz w:val="20"/>
                <w:szCs w:val="20"/>
              </w:rPr>
            </w:pPr>
            <w:r>
              <w:rPr>
                <w:rFonts w:hint="eastAsia" w:ascii="宋体" w:hAnsi="宋体" w:eastAsia="宋体"/>
                <w:color w:val="auto"/>
                <w:spacing w:val="0"/>
                <w:kern w:val="0"/>
                <w:sz w:val="20"/>
                <w:szCs w:val="20"/>
                <w:highlight w:val="none"/>
              </w:rPr>
              <w:t>第四十条  违反本条例规定，收购没有林木采伐许可证或者其他合法来源证明的木材的，由县级以上人民政府林业主管部门没收非法经营的木材和违法所得，并处违法所得2倍以下的罚款。”</w:t>
            </w:r>
          </w:p>
        </w:tc>
        <w:tc>
          <w:tcPr>
            <w:tcW w:w="1119" w:type="dxa"/>
            <w:tcBorders>
              <w:top w:val="single" w:color="auto" w:sz="4" w:space="0"/>
              <w:left w:val="nil"/>
              <w:bottom w:val="single" w:color="auto" w:sz="4" w:space="0"/>
              <w:right w:val="single" w:color="auto" w:sz="4" w:space="0"/>
            </w:tcBorders>
            <w:textDirection w:val="lrTb"/>
            <w:vAlign w:val="center"/>
          </w:tcPr>
          <w:p>
            <w:pPr>
              <w:rPr>
                <w:rFonts w:hint="eastAsia" w:ascii="宋体" w:hAnsi="宋体" w:eastAsia="宋体"/>
                <w:color w:val="auto"/>
                <w:spacing w:val="0"/>
                <w:sz w:val="20"/>
                <w:szCs w:val="20"/>
                <w:lang w:eastAsia="zh-CN"/>
              </w:rPr>
            </w:pPr>
            <w:r>
              <w:rPr>
                <w:rFonts w:hint="eastAsia" w:ascii="宋体" w:hAnsi="宋体"/>
                <w:color w:val="auto"/>
                <w:spacing w:val="0"/>
                <w:sz w:val="20"/>
                <w:szCs w:val="20"/>
                <w:highlight w:val="none"/>
                <w:lang w:val="en-US" w:eastAsia="zh-CN"/>
              </w:rPr>
              <w:t>银川市自然资源局</w:t>
            </w:r>
          </w:p>
        </w:tc>
        <w:tc>
          <w:tcPr>
            <w:tcW w:w="692" w:type="dxa"/>
            <w:tcBorders>
              <w:top w:val="single" w:color="auto" w:sz="4" w:space="0"/>
              <w:left w:val="nil"/>
              <w:bottom w:val="single" w:color="auto" w:sz="4" w:space="0"/>
              <w:right w:val="single" w:color="auto" w:sz="4" w:space="0"/>
            </w:tcBorders>
            <w:textDirection w:val="lrTb"/>
            <w:vAlign w:val="center"/>
          </w:tcPr>
          <w:p>
            <w:pPr>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textDirection w:val="lrTb"/>
            <w:vAlign w:val="center"/>
          </w:tcPr>
          <w:p>
            <w:pPr>
              <w:jc w:val="center"/>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lang w:val="en-US" w:eastAsia="zh-CN"/>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31</w:t>
            </w:r>
          </w:p>
        </w:tc>
        <w:tc>
          <w:tcPr>
            <w:tcW w:w="1883" w:type="dxa"/>
            <w:tcBorders>
              <w:top w:val="single" w:color="auto" w:sz="4" w:space="0"/>
              <w:left w:val="nil"/>
              <w:bottom w:val="single" w:color="auto" w:sz="4" w:space="0"/>
              <w:right w:val="single" w:color="auto" w:sz="4" w:space="0"/>
            </w:tcBorders>
            <w:textDirection w:val="lrTb"/>
            <w:vAlign w:val="center"/>
          </w:tcPr>
          <w:p>
            <w:pPr>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rPr>
              <w:t>对围湖造地或者未经批准围垦河道阻碍行洪等行为的处罚</w:t>
            </w:r>
          </w:p>
        </w:tc>
        <w:tc>
          <w:tcPr>
            <w:tcW w:w="8989" w:type="dxa"/>
            <w:tcBorders>
              <w:top w:val="single" w:color="auto" w:sz="4" w:space="0"/>
              <w:left w:val="nil"/>
              <w:bottom w:val="single" w:color="auto" w:sz="4" w:space="0"/>
              <w:right w:val="single" w:color="auto" w:sz="4" w:space="0"/>
            </w:tcBorders>
            <w:textDirection w:val="lrTb"/>
            <w:vAlign w:val="center"/>
          </w:tcPr>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【法律】《中华人民共和国水法》（2016年7月中华人民共和国主席令第48号第二次修正）</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 xml:space="preserve">【法律】《中华人民共和国防洪法》（2016年7月中华人民共和国主席令第48号第三次修正） </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第十五条第一款 国务院水行政主管部门应当会同有关部门和省、自治区、直辖市人民政府制定长江、黄河、珠江、辽河、淮河、海河入海河口的整治规划。</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第二十三条 禁止围湖造地。已经围垦的，应当按照国家规定的防洪标准进行治理，有计划地退地还湖。禁止围垦河道。确需围垦的，应当进行科学论证，经水行政主管部门确认不妨碍行洪、输水后，报省级以上人民政府批准。</w:t>
            </w:r>
          </w:p>
          <w:p>
            <w:pPr>
              <w:ind w:firstLine="400" w:firstLineChars="200"/>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rPr>
              <w:t>第五十五条 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三）在行洪河道内种植阻碍行洪的林木和高秆作物的。</w:t>
            </w:r>
          </w:p>
        </w:tc>
        <w:tc>
          <w:tcPr>
            <w:tcW w:w="1119" w:type="dxa"/>
            <w:tcBorders>
              <w:top w:val="single" w:color="auto" w:sz="4" w:space="0"/>
              <w:left w:val="nil"/>
              <w:bottom w:val="single" w:color="auto" w:sz="4" w:space="0"/>
              <w:right w:val="single" w:color="auto" w:sz="4" w:space="0"/>
            </w:tcBorders>
            <w:textDirection w:val="lrTb"/>
            <w:vAlign w:val="center"/>
          </w:tcPr>
          <w:p>
            <w:pPr>
              <w:pStyle w:val="4"/>
              <w:jc w:val="both"/>
              <w:rPr>
                <w:rFonts w:hint="eastAsia" w:ascii="宋体" w:hAnsi="宋体" w:eastAsia="宋体"/>
                <w:color w:val="auto"/>
                <w:spacing w:val="0"/>
                <w:sz w:val="20"/>
                <w:szCs w:val="20"/>
                <w:highlight w:val="none"/>
                <w:lang w:eastAsia="zh-CN"/>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textDirection w:val="lrTb"/>
            <w:vAlign w:val="center"/>
          </w:tcPr>
          <w:p>
            <w:pPr>
              <w:pStyle w:val="4"/>
              <w:jc w:val="both"/>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highlight w:val="yellow"/>
                <w:lang w:val="en-US" w:eastAsia="zh-CN"/>
              </w:rPr>
            </w:pPr>
            <w:r>
              <w:rPr>
                <w:rFonts w:hint="eastAsia" w:ascii="宋体" w:hAnsi="宋体"/>
                <w:color w:val="auto"/>
                <w:spacing w:val="0"/>
                <w:sz w:val="20"/>
                <w:szCs w:val="20"/>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32</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对单位和个人占用行水、蓄水区域或因生产、集市贸易或者其它活动使行洪沟道成为通行道行为的处罚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jc w:val="both"/>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【地方性法规】《宁夏回族自治区水工程管理条例》（2002年11月</w:t>
            </w:r>
            <w:r>
              <w:rPr>
                <w:rFonts w:hint="eastAsia" w:ascii="宋体" w:hAnsi="宋体" w:eastAsia="宋体"/>
                <w:color w:val="auto"/>
                <w:spacing w:val="0"/>
                <w:sz w:val="20"/>
                <w:szCs w:val="20"/>
                <w:highlight w:val="none"/>
              </w:rPr>
              <w:fldChar w:fldCharType="begin"/>
            </w:r>
            <w:r>
              <w:rPr>
                <w:rFonts w:hint="eastAsia" w:ascii="宋体" w:hAnsi="宋体" w:eastAsia="宋体"/>
                <w:color w:val="auto"/>
                <w:spacing w:val="0"/>
                <w:sz w:val="20"/>
                <w:szCs w:val="20"/>
                <w:highlight w:val="none"/>
              </w:rPr>
              <w:instrText xml:space="preserve"> HYPERLINK "http://conac.pkulaw.cn/cluster_form.aspx?Db=lar&amp;EncodingName=&amp;search_tj=fdep_id%7b3a82801" \t "http://conac.pkulaw.cn/_blank" </w:instrText>
            </w:r>
            <w:r>
              <w:rPr>
                <w:rFonts w:hint="eastAsia" w:ascii="宋体" w:hAnsi="宋体" w:eastAsia="宋体"/>
                <w:color w:val="auto"/>
                <w:spacing w:val="0"/>
                <w:sz w:val="20"/>
                <w:szCs w:val="20"/>
                <w:highlight w:val="none"/>
              </w:rPr>
              <w:fldChar w:fldCharType="separate"/>
            </w:r>
            <w:r>
              <w:rPr>
                <w:rFonts w:hint="eastAsia" w:ascii="宋体" w:hAnsi="宋体" w:eastAsia="宋体"/>
                <w:color w:val="auto"/>
                <w:spacing w:val="0"/>
                <w:sz w:val="20"/>
                <w:szCs w:val="20"/>
                <w:highlight w:val="none"/>
              </w:rPr>
              <w:t>宁夏回族自治区人</w:t>
            </w:r>
            <w:r>
              <w:rPr>
                <w:rFonts w:hint="eastAsia" w:ascii="宋体" w:hAnsi="宋体" w:eastAsia="宋体"/>
                <w:color w:val="auto"/>
                <w:spacing w:val="0"/>
                <w:sz w:val="20"/>
                <w:szCs w:val="20"/>
                <w:highlight w:val="none"/>
                <w:lang w:eastAsia="zh-CN"/>
              </w:rPr>
              <w:t>民代表</w:t>
            </w:r>
            <w:r>
              <w:rPr>
                <w:rFonts w:hint="eastAsia" w:ascii="宋体" w:hAnsi="宋体" w:eastAsia="宋体"/>
                <w:color w:val="auto"/>
                <w:spacing w:val="0"/>
                <w:sz w:val="20"/>
                <w:szCs w:val="20"/>
                <w:highlight w:val="none"/>
              </w:rPr>
              <w:t>大</w:t>
            </w:r>
            <w:r>
              <w:rPr>
                <w:rFonts w:hint="eastAsia" w:ascii="宋体" w:hAnsi="宋体" w:eastAsia="宋体"/>
                <w:color w:val="auto"/>
                <w:spacing w:val="0"/>
                <w:sz w:val="20"/>
                <w:szCs w:val="20"/>
                <w:highlight w:val="none"/>
              </w:rPr>
              <w:fldChar w:fldCharType="end"/>
            </w:r>
            <w:r>
              <w:rPr>
                <w:rFonts w:hint="eastAsia" w:ascii="宋体" w:hAnsi="宋体" w:eastAsia="宋体"/>
                <w:color w:val="auto"/>
                <w:spacing w:val="0"/>
                <w:sz w:val="20"/>
                <w:szCs w:val="20"/>
                <w:highlight w:val="none"/>
                <w:lang w:eastAsia="zh-CN"/>
              </w:rPr>
              <w:t>会常务委员会第</w:t>
            </w:r>
            <w:r>
              <w:rPr>
                <w:rFonts w:hint="eastAsia" w:ascii="宋体" w:hAnsi="宋体" w:eastAsia="宋体"/>
                <w:color w:val="auto"/>
                <w:spacing w:val="0"/>
                <w:sz w:val="20"/>
                <w:szCs w:val="20"/>
                <w:highlight w:val="none"/>
                <w:lang w:val="en-US" w:eastAsia="zh-CN"/>
              </w:rPr>
              <w:t>29次会议通过</w:t>
            </w:r>
            <w:r>
              <w:rPr>
                <w:rFonts w:hint="eastAsia" w:ascii="宋体" w:hAnsi="宋体" w:eastAsia="宋体"/>
                <w:color w:val="auto"/>
                <w:spacing w:val="0"/>
                <w:sz w:val="20"/>
                <w:szCs w:val="20"/>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jc w:val="both"/>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第四十三条 违反本条例第二十二、二十三条规定的，由县级以上人民政府水行政主管部门或者自治区水行政主管部门所属的水工程管理机构依据职权责令纠正违法行为，可以处一万元以上五万元以下罚款。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jc w:val="both"/>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第二十二条 退水沟道、蓄水塘洼，由县级以上人民政府水行政主管部门划定。任何单位和个人不得占用行水、蓄水区域。</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jc w:val="both"/>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第二十三条 汛期内行洪沟道禁止通行，任何单位和个人不得因生产、集市贸易或者其他活动使行洪沟道成为通行道。</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jc w:val="both"/>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因紧急情况作为通行道时，应当经县级以上人民政府水行政主管部门或者防汛指挥机构批准，并采取防汛安全措施。</w:t>
            </w:r>
          </w:p>
        </w:tc>
        <w:tc>
          <w:tcPr>
            <w:tcW w:w="1119"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color w:val="auto"/>
                <w:spacing w:val="0"/>
                <w:sz w:val="20"/>
                <w:szCs w:val="20"/>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33</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textAlignment w:val="center"/>
              <w:outlineLvl w:val="9"/>
              <w:rPr>
                <w:rFonts w:hint="eastAsia" w:ascii="宋体" w:hAnsi="宋体" w:eastAsia="宋体" w:cs="Times New Roman"/>
                <w:b/>
                <w:bCs/>
                <w:color w:val="auto"/>
                <w:spacing w:val="0"/>
                <w:kern w:val="2"/>
                <w:sz w:val="20"/>
                <w:szCs w:val="20"/>
                <w:highlight w:val="none"/>
                <w:lang w:val="en-US" w:eastAsia="zh-CN" w:bidi="ar-SA"/>
              </w:rPr>
            </w:pPr>
            <w:r>
              <w:rPr>
                <w:rFonts w:hint="eastAsia" w:ascii="宋体" w:hAnsi="宋体" w:eastAsia="宋体"/>
                <w:color w:val="auto"/>
                <w:spacing w:val="0"/>
                <w:kern w:val="0"/>
                <w:sz w:val="20"/>
                <w:szCs w:val="20"/>
                <w:highlight w:val="none"/>
              </w:rPr>
              <w:t>对在河流、湖泊、水库、渠道以及专门存放地以外的沟道倾倒固体废弃物的处罚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ind w:firstLine="400" w:firstLineChars="200"/>
              <w:textAlignment w:val="center"/>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kern w:val="0"/>
                <w:sz w:val="20"/>
                <w:szCs w:val="20"/>
                <w:highlight w:val="none"/>
              </w:rPr>
              <w:t>【地方性法规】《宁夏回族自治区实施〈中华人民共和国水土保持法〉办法》（2015年</w:t>
            </w:r>
            <w:r>
              <w:rPr>
                <w:rFonts w:hint="eastAsia" w:ascii="宋体" w:hAnsi="宋体" w:eastAsia="宋体"/>
                <w:color w:val="auto"/>
                <w:spacing w:val="0"/>
                <w:kern w:val="0"/>
                <w:sz w:val="20"/>
                <w:szCs w:val="20"/>
                <w:highlight w:val="none"/>
                <w:lang w:eastAsia="zh-CN"/>
              </w:rPr>
              <w:t>宁夏回族自治区人民代表大会常务委员会第</w:t>
            </w:r>
            <w:r>
              <w:rPr>
                <w:rFonts w:hint="eastAsia" w:ascii="宋体" w:hAnsi="宋体" w:eastAsia="宋体"/>
                <w:color w:val="auto"/>
                <w:spacing w:val="0"/>
                <w:kern w:val="0"/>
                <w:sz w:val="20"/>
                <w:szCs w:val="20"/>
                <w:highlight w:val="none"/>
                <w:lang w:val="en-US" w:eastAsia="zh-CN"/>
              </w:rPr>
              <w:t>18次会议</w:t>
            </w:r>
            <w:r>
              <w:rPr>
                <w:rFonts w:hint="eastAsia" w:ascii="宋体" w:hAnsi="宋体" w:eastAsia="宋体"/>
                <w:color w:val="auto"/>
                <w:spacing w:val="0"/>
                <w:kern w:val="0"/>
                <w:sz w:val="20"/>
                <w:szCs w:val="20"/>
                <w:highlight w:val="none"/>
              </w:rPr>
              <w:t>修订）</w:t>
            </w:r>
            <w:r>
              <w:rPr>
                <w:rFonts w:hint="eastAsia" w:ascii="宋体" w:hAnsi="宋体" w:eastAsia="宋体"/>
                <w:color w:val="auto"/>
                <w:spacing w:val="0"/>
                <w:kern w:val="0"/>
                <w:sz w:val="20"/>
                <w:szCs w:val="20"/>
                <w:highlight w:val="none"/>
              </w:rPr>
              <w:br w:type="textWrapping"/>
            </w:r>
            <w:r>
              <w:rPr>
                <w:rFonts w:hint="eastAsia" w:ascii="宋体" w:hAnsi="宋体" w:eastAsia="宋体"/>
                <w:color w:val="auto"/>
                <w:spacing w:val="0"/>
                <w:kern w:val="0"/>
                <w:sz w:val="20"/>
                <w:szCs w:val="20"/>
                <w:highlight w:val="none"/>
              </w:rPr>
              <w:t xml:space="preserve">    第二十四条 违反本办法规定，在河流、湖泊、水库、渠道以及专门存放地以外的沟道倾倒固体废弃物的，由县级以上人民政府水行政主管部门责令停止违法行为，限期清理，按照倾倒数量处每立方米十元以上二十元以下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s="Times New Roman"/>
                <w:color w:val="auto"/>
                <w:spacing w:val="0"/>
                <w:kern w:val="0"/>
                <w:sz w:val="20"/>
                <w:szCs w:val="20"/>
                <w:highlight w:val="none"/>
                <w:lang w:val="en-US" w:eastAsia="zh-CN" w:bidi="ar-SA"/>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color w:val="auto"/>
                <w:spacing w:val="0"/>
                <w:kern w:val="2"/>
                <w:sz w:val="20"/>
                <w:szCs w:val="20"/>
                <w:highlight w:val="yellow"/>
                <w:lang w:val="en-US" w:eastAsia="zh-CN" w:bidi="ar-SA"/>
              </w:rPr>
            </w:pPr>
            <w:r>
              <w:rPr>
                <w:rFonts w:hint="eastAsia" w:ascii="宋体" w:hAnsi="宋体"/>
                <w:color w:val="auto"/>
                <w:spacing w:val="0"/>
                <w:sz w:val="20"/>
                <w:szCs w:val="20"/>
                <w:highlight w:val="none"/>
                <w:lang w:val="en-US" w:eastAsia="zh-CN"/>
              </w:rPr>
              <w:t>不涉及</w:t>
            </w:r>
          </w:p>
        </w:tc>
      </w:tr>
    </w:tbl>
    <w:p>
      <w:pPr>
        <w:spacing w:before="624" w:beforeLines="200" w:after="312" w:afterLines="100" w:line="480" w:lineRule="auto"/>
        <w:jc w:val="center"/>
        <w:rPr>
          <w:rFonts w:eastAsia="宋体"/>
          <w:color w:val="auto"/>
          <w:sz w:val="36"/>
          <w:szCs w:val="36"/>
        </w:rPr>
      </w:pPr>
      <w:r>
        <w:rPr>
          <w:rFonts w:hint="eastAsia" w:ascii="黑体" w:hAnsi="黑体" w:eastAsia="黑体" w:cs="黑体"/>
          <w:color w:val="auto"/>
          <w:sz w:val="36"/>
          <w:szCs w:val="36"/>
        </w:rPr>
        <w:t>二、</w:t>
      </w:r>
      <w:r>
        <w:rPr>
          <w:rFonts w:hint="eastAsia" w:ascii="黑体" w:hAnsi="黑体" w:eastAsia="黑体" w:cs="黑体"/>
          <w:color w:val="auto"/>
          <w:sz w:val="32"/>
          <w:szCs w:val="32"/>
        </w:rPr>
        <w:t>行政检查</w:t>
      </w:r>
      <w:r>
        <w:rPr>
          <w:rFonts w:hint="eastAsia" w:ascii="黑体" w:hAnsi="黑体" w:eastAsia="黑体" w:cs="黑体"/>
          <w:color w:val="auto"/>
          <w:sz w:val="36"/>
          <w:szCs w:val="36"/>
        </w:rPr>
        <w:t>（2项）</w:t>
      </w:r>
    </w:p>
    <w:tbl>
      <w:tblPr>
        <w:tblStyle w:val="10"/>
        <w:tblW w:w="150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20"/>
        <w:gridCol w:w="10134"/>
        <w:gridCol w:w="1253"/>
        <w:gridCol w:w="87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blHeader/>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序号</w:t>
            </w:r>
          </w:p>
        </w:tc>
        <w:tc>
          <w:tcPr>
            <w:tcW w:w="13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职权名称</w:t>
            </w:r>
          </w:p>
        </w:tc>
        <w:tc>
          <w:tcPr>
            <w:tcW w:w="1013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设定依据</w:t>
            </w:r>
          </w:p>
        </w:tc>
        <w:tc>
          <w:tcPr>
            <w:tcW w:w="1253"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原行使层级及部门</w:t>
            </w:r>
          </w:p>
        </w:tc>
        <w:tc>
          <w:tcPr>
            <w:tcW w:w="87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黑体简体" w:hAnsi="方正黑体简体" w:eastAsia="方正黑体简体" w:cs="方正黑体简体"/>
                <w:bCs/>
                <w:color w:val="auto"/>
                <w:sz w:val="20"/>
                <w:szCs w:val="20"/>
                <w:lang w:eastAsia="zh-CN"/>
              </w:rPr>
            </w:pPr>
            <w:r>
              <w:rPr>
                <w:rFonts w:hint="eastAsia" w:ascii="方正黑体简体" w:hAnsi="方正黑体简体" w:eastAsia="方正黑体简体" w:cs="方正黑体简体"/>
                <w:bCs/>
                <w:color w:val="auto"/>
                <w:sz w:val="20"/>
                <w:szCs w:val="20"/>
                <w:lang w:eastAsia="zh-CN"/>
              </w:rPr>
              <w:t>承接部门</w:t>
            </w:r>
          </w:p>
        </w:tc>
        <w:tc>
          <w:tcPr>
            <w:tcW w:w="871"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方正黑体简体" w:hAnsi="方正黑体简体" w:eastAsia="方正黑体简体" w:cs="方正黑体简体"/>
                <w:bCs/>
                <w:color w:val="auto"/>
                <w:sz w:val="20"/>
                <w:szCs w:val="20"/>
                <w:lang w:val="en-US" w:eastAsia="zh-CN"/>
              </w:rPr>
            </w:pPr>
            <w:r>
              <w:rPr>
                <w:rFonts w:hint="eastAsia" w:ascii="方正黑体简体" w:hAnsi="方正黑体简体" w:eastAsia="方正黑体简体" w:cs="方正黑体简体"/>
                <w:bCs/>
                <w:color w:val="auto"/>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w:t>
            </w:r>
          </w:p>
        </w:tc>
        <w:tc>
          <w:tcPr>
            <w:tcW w:w="1320" w:type="dxa"/>
            <w:tcBorders>
              <w:top w:val="single" w:color="auto" w:sz="4" w:space="0"/>
              <w:left w:val="nil"/>
              <w:bottom w:val="single" w:color="auto" w:sz="4" w:space="0"/>
              <w:right w:val="single" w:color="auto" w:sz="4" w:space="0"/>
            </w:tcBorders>
            <w:vAlign w:val="center"/>
          </w:tcPr>
          <w:p>
            <w:pPr>
              <w:spacing w:line="320" w:lineRule="exact"/>
              <w:textAlignment w:val="center"/>
              <w:rPr>
                <w:rFonts w:hint="eastAsia" w:ascii="宋体" w:hAnsi="宋体" w:eastAsia="宋体"/>
                <w:color w:val="auto"/>
                <w:kern w:val="0"/>
                <w:sz w:val="20"/>
                <w:szCs w:val="20"/>
              </w:rPr>
            </w:pPr>
            <w:r>
              <w:rPr>
                <w:rFonts w:hint="eastAsia" w:ascii="宋体" w:hAnsi="宋体" w:eastAsia="宋体"/>
                <w:color w:val="auto"/>
                <w:kern w:val="21"/>
                <w:sz w:val="20"/>
                <w:szCs w:val="20"/>
              </w:rPr>
              <w:t>对临时建设和临时用地的监督检查</w:t>
            </w:r>
          </w:p>
        </w:tc>
        <w:tc>
          <w:tcPr>
            <w:tcW w:w="10134" w:type="dxa"/>
            <w:tcBorders>
              <w:top w:val="single" w:color="auto" w:sz="4" w:space="0"/>
              <w:left w:val="nil"/>
              <w:bottom w:val="single" w:color="auto" w:sz="4" w:space="0"/>
              <w:right w:val="single" w:color="auto" w:sz="4" w:space="0"/>
            </w:tcBorders>
            <w:vAlign w:val="center"/>
          </w:tcPr>
          <w:p>
            <w:pPr>
              <w:spacing w:line="320" w:lineRule="exact"/>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【地方政府规章】《宁夏回族自治区城镇规划区临时建设和临时用地规划管理办法》（2018年</w:t>
            </w:r>
            <w:r>
              <w:rPr>
                <w:rFonts w:hint="eastAsia" w:ascii="宋体" w:hAnsi="宋体" w:eastAsia="宋体"/>
                <w:color w:val="auto"/>
                <w:sz w:val="20"/>
                <w:szCs w:val="20"/>
                <w:lang w:eastAsia="zh-CN"/>
              </w:rPr>
              <w:t>宁夏回族</w:t>
            </w:r>
            <w:r>
              <w:rPr>
                <w:rFonts w:hint="eastAsia" w:ascii="宋体" w:hAnsi="宋体" w:eastAsia="宋体"/>
                <w:color w:val="auto"/>
                <w:sz w:val="20"/>
                <w:szCs w:val="20"/>
              </w:rPr>
              <w:t>自治区人民政府令第101号修正）</w:t>
            </w:r>
          </w:p>
          <w:p>
            <w:pPr>
              <w:pStyle w:val="2"/>
              <w:spacing w:line="320" w:lineRule="exact"/>
              <w:ind w:firstLine="400" w:firstLineChars="200"/>
              <w:jc w:val="both"/>
              <w:rPr>
                <w:rFonts w:hint="eastAsia" w:ascii="宋体" w:hAnsi="宋体" w:eastAsia="宋体" w:cs="宋体"/>
                <w:color w:val="auto"/>
                <w:sz w:val="20"/>
                <w:szCs w:val="20"/>
              </w:rPr>
            </w:pPr>
            <w:r>
              <w:rPr>
                <w:rFonts w:hint="eastAsia" w:ascii="宋体" w:hAnsi="宋体" w:eastAsia="宋体" w:cs="宋体"/>
                <w:color w:val="auto"/>
                <w:sz w:val="20"/>
                <w:szCs w:val="20"/>
              </w:rPr>
              <w:t>第四条 市、县（市）城乡规划主管部门负责临时建设和临时用地的规划管理工作。</w:t>
            </w:r>
          </w:p>
          <w:p>
            <w:pPr>
              <w:spacing w:line="320" w:lineRule="exact"/>
              <w:ind w:firstLine="400" w:firstLineChars="200"/>
              <w:textAlignment w:val="center"/>
              <w:rPr>
                <w:rFonts w:hint="eastAsia" w:ascii="宋体" w:hAnsi="宋体" w:eastAsia="宋体"/>
                <w:color w:val="auto"/>
                <w:kern w:val="21"/>
                <w:sz w:val="20"/>
                <w:szCs w:val="20"/>
              </w:rPr>
            </w:pPr>
            <w:r>
              <w:rPr>
                <w:rFonts w:hint="eastAsia" w:ascii="宋体" w:hAnsi="宋体" w:eastAsia="宋体"/>
                <w:color w:val="auto"/>
                <w:kern w:val="21"/>
                <w:sz w:val="20"/>
                <w:szCs w:val="20"/>
              </w:rPr>
              <w:t>第十七条</w:t>
            </w:r>
            <w:r>
              <w:rPr>
                <w:rStyle w:val="12"/>
                <w:rFonts w:hint="eastAsia" w:ascii="宋体" w:hAnsi="宋体" w:eastAsia="宋体" w:cs="Times New Roman"/>
                <w:color w:val="auto"/>
                <w:kern w:val="21"/>
                <w:sz w:val="20"/>
                <w:szCs w:val="20"/>
              </w:rPr>
              <w:t xml:space="preserve"> </w:t>
            </w:r>
            <w:r>
              <w:rPr>
                <w:rFonts w:hint="eastAsia" w:ascii="宋体" w:hAnsi="宋体" w:eastAsia="宋体"/>
                <w:color w:val="auto"/>
                <w:kern w:val="21"/>
                <w:sz w:val="20"/>
                <w:szCs w:val="20"/>
              </w:rPr>
              <w:t>城乡规划主管部门应当加强对临时建设和临时用地的监督检查，并有权采取以下措施：（一）要求有关单位或者个人提供临时建设、临时用地的有关批准文件；（二）根据需要现场勘测临时建筑物、构筑物或者临时用地；（三）责令有关单位或者个人停止违反城乡规划法律法规和本办法规定的行为。</w:t>
            </w:r>
          </w:p>
          <w:p>
            <w:pPr>
              <w:spacing w:line="32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21"/>
                <w:sz w:val="20"/>
                <w:szCs w:val="20"/>
              </w:rPr>
              <w:t>城乡规划主管部门的工作人员履行前款规定的监督检查职责，应当出示行政执法证件。被监督检查的单位和人员应当予以配合，不得妨碍和阻挠依法进行的监督检查。</w:t>
            </w:r>
          </w:p>
        </w:tc>
        <w:tc>
          <w:tcPr>
            <w:tcW w:w="1253" w:type="dxa"/>
            <w:tcBorders>
              <w:top w:val="single" w:color="auto" w:sz="4" w:space="0"/>
              <w:left w:val="nil"/>
              <w:bottom w:val="single" w:color="auto" w:sz="4" w:space="0"/>
              <w:right w:val="single" w:color="auto" w:sz="4" w:space="0"/>
            </w:tcBorders>
            <w:vAlign w:val="center"/>
          </w:tcPr>
          <w:p>
            <w:pPr>
              <w:spacing w:line="320" w:lineRule="exact"/>
              <w:rPr>
                <w:rFonts w:hint="eastAsia" w:ascii="宋体" w:hAnsi="宋体" w:eastAsia="宋体"/>
                <w:color w:val="auto"/>
                <w:sz w:val="20"/>
                <w:szCs w:val="20"/>
                <w:lang w:eastAsia="zh-CN"/>
              </w:rPr>
            </w:pPr>
            <w:r>
              <w:rPr>
                <w:rFonts w:hint="eastAsia" w:ascii="宋体" w:hAnsi="宋体" w:eastAsia="宋体"/>
                <w:color w:val="auto"/>
                <w:sz w:val="20"/>
                <w:szCs w:val="20"/>
                <w:lang w:eastAsia="zh-CN"/>
              </w:rPr>
              <w:t>银川市自然资源局</w:t>
            </w:r>
          </w:p>
        </w:tc>
        <w:tc>
          <w:tcPr>
            <w:tcW w:w="871" w:type="dxa"/>
            <w:tcBorders>
              <w:top w:val="single" w:color="auto" w:sz="4" w:space="0"/>
              <w:left w:val="nil"/>
              <w:bottom w:val="single" w:color="auto" w:sz="4" w:space="0"/>
              <w:right w:val="single" w:color="auto" w:sz="4" w:space="0"/>
            </w:tcBorders>
            <w:vAlign w:val="center"/>
          </w:tcPr>
          <w:p>
            <w:pPr>
              <w:spacing w:line="320" w:lineRule="exact"/>
              <w:rPr>
                <w:rFonts w:hint="eastAsia" w:ascii="宋体" w:hAnsi="宋体" w:eastAsia="宋体"/>
                <w:color w:val="auto"/>
                <w:sz w:val="20"/>
                <w:szCs w:val="20"/>
              </w:rPr>
            </w:pPr>
            <w:r>
              <w:rPr>
                <w:rFonts w:hint="eastAsia" w:ascii="宋体" w:hAnsi="宋体"/>
                <w:color w:val="auto"/>
                <w:spacing w:val="0"/>
                <w:sz w:val="20"/>
                <w:szCs w:val="20"/>
                <w:lang w:val="en-US" w:eastAsia="zh-CN"/>
              </w:rPr>
              <w:t>兴庆区前进街街道办事处</w:t>
            </w:r>
          </w:p>
        </w:tc>
        <w:tc>
          <w:tcPr>
            <w:tcW w:w="871" w:type="dxa"/>
            <w:tcBorders>
              <w:top w:val="single" w:color="auto" w:sz="4" w:space="0"/>
              <w:left w:val="nil"/>
              <w:bottom w:val="single" w:color="auto" w:sz="4" w:space="0"/>
              <w:right w:val="single" w:color="auto" w:sz="4" w:space="0"/>
            </w:tcBorders>
            <w:vAlign w:val="center"/>
          </w:tcPr>
          <w:p>
            <w:pPr>
              <w:spacing w:line="320" w:lineRule="exact"/>
              <w:rPr>
                <w:rFonts w:hint="default" w:ascii="宋体" w:hAnsi="宋体"/>
                <w:color w:val="auto"/>
                <w:spacing w:val="0"/>
                <w:sz w:val="20"/>
                <w:szCs w:val="20"/>
                <w:lang w:val="en-US" w:eastAsia="zh-CN"/>
              </w:rPr>
            </w:pPr>
            <w:r>
              <w:rPr>
                <w:rFonts w:hint="eastAsia" w:ascii="宋体" w:hAnsi="宋体"/>
                <w:color w:val="auto"/>
                <w:spacing w:val="0"/>
                <w:sz w:val="20"/>
                <w:szCs w:val="20"/>
                <w:lang w:val="en-US" w:eastAsia="zh-CN"/>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5"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2</w:t>
            </w:r>
          </w:p>
        </w:tc>
        <w:tc>
          <w:tcPr>
            <w:tcW w:w="1320" w:type="dxa"/>
            <w:tcBorders>
              <w:top w:val="single" w:color="auto" w:sz="4" w:space="0"/>
              <w:left w:val="nil"/>
              <w:bottom w:val="single" w:color="auto" w:sz="4" w:space="0"/>
              <w:right w:val="single" w:color="auto" w:sz="4" w:space="0"/>
            </w:tcBorders>
            <w:vAlign w:val="center"/>
          </w:tcPr>
          <w:p>
            <w:pPr>
              <w:spacing w:line="320" w:lineRule="exact"/>
              <w:textAlignment w:val="center"/>
              <w:rPr>
                <w:rFonts w:hint="eastAsia" w:ascii="宋体" w:hAnsi="宋体" w:eastAsia="宋体"/>
                <w:color w:val="auto"/>
                <w:kern w:val="21"/>
                <w:sz w:val="20"/>
                <w:szCs w:val="20"/>
              </w:rPr>
            </w:pPr>
            <w:r>
              <w:rPr>
                <w:rFonts w:hint="eastAsia" w:ascii="宋体" w:hAnsi="宋体" w:eastAsia="宋体"/>
                <w:color w:val="auto"/>
                <w:kern w:val="0"/>
                <w:sz w:val="20"/>
                <w:szCs w:val="20"/>
              </w:rPr>
              <w:t>物业管理活动的监督管理</w:t>
            </w:r>
          </w:p>
        </w:tc>
        <w:tc>
          <w:tcPr>
            <w:tcW w:w="10134" w:type="dxa"/>
            <w:tcBorders>
              <w:top w:val="single" w:color="auto" w:sz="4" w:space="0"/>
              <w:left w:val="nil"/>
              <w:bottom w:val="single" w:color="auto" w:sz="4" w:space="0"/>
              <w:right w:val="single" w:color="auto" w:sz="4" w:space="0"/>
            </w:tcBorders>
            <w:vAlign w:val="center"/>
          </w:tcPr>
          <w:p>
            <w:pPr>
              <w:widowControl/>
              <w:spacing w:line="32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【行政法规】《物业管理条例》（2018年3月</w:t>
            </w:r>
            <w:r>
              <w:rPr>
                <w:rFonts w:hint="eastAsia" w:ascii="宋体" w:hAnsi="宋体" w:eastAsia="宋体"/>
                <w:color w:val="auto"/>
                <w:sz w:val="20"/>
                <w:szCs w:val="20"/>
              </w:rPr>
              <w:t>国务院令第698号第三次</w:t>
            </w:r>
            <w:r>
              <w:rPr>
                <w:rFonts w:hint="eastAsia" w:ascii="宋体" w:hAnsi="宋体" w:eastAsia="宋体"/>
                <w:color w:val="auto"/>
                <w:kern w:val="0"/>
                <w:sz w:val="20"/>
                <w:szCs w:val="20"/>
              </w:rPr>
              <w:t>修正）</w:t>
            </w:r>
          </w:p>
          <w:p>
            <w:pPr>
              <w:widowControl/>
              <w:spacing w:line="32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第五条第一款 国务院建设行政主管部门负责全国物业管理活动的监督管理工作。第二款 县级以上地方人民政府房地产行政主管部门负责本行政区域内物业管理活动的监督管理工作。</w:t>
            </w:r>
          </w:p>
          <w:p>
            <w:pPr>
              <w:widowControl/>
              <w:spacing w:line="32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【地方性法规】《宁夏回族自治区物业管理条例》（2010年</w:t>
            </w:r>
            <w:r>
              <w:rPr>
                <w:rFonts w:hint="eastAsia" w:ascii="宋体" w:hAnsi="宋体" w:eastAsia="宋体"/>
                <w:color w:val="auto"/>
                <w:kern w:val="0"/>
                <w:sz w:val="20"/>
                <w:szCs w:val="20"/>
                <w:lang w:eastAsia="zh-CN"/>
              </w:rPr>
              <w:t>宁夏回族</w:t>
            </w:r>
            <w:r>
              <w:rPr>
                <w:rFonts w:hint="eastAsia" w:ascii="宋体" w:hAnsi="宋体" w:eastAsia="宋体"/>
                <w:color w:val="auto"/>
                <w:sz w:val="20"/>
                <w:szCs w:val="20"/>
              </w:rPr>
              <w:t>自治区人民代表大会常务委员会公告第81号</w:t>
            </w:r>
            <w:r>
              <w:rPr>
                <w:rFonts w:hint="eastAsia" w:ascii="宋体" w:hAnsi="宋体" w:eastAsia="宋体"/>
                <w:color w:val="auto"/>
                <w:kern w:val="0"/>
                <w:sz w:val="20"/>
                <w:szCs w:val="20"/>
              </w:rPr>
              <w:t>）</w:t>
            </w:r>
            <w:r>
              <w:rPr>
                <w:rFonts w:hint="eastAsia" w:ascii="宋体" w:hAnsi="宋体" w:eastAsia="宋体"/>
                <w:color w:val="auto"/>
                <w:kern w:val="0"/>
                <w:sz w:val="20"/>
                <w:szCs w:val="20"/>
              </w:rPr>
              <w:br w:type="textWrapping"/>
            </w:r>
            <w:r>
              <w:rPr>
                <w:rFonts w:hint="eastAsia" w:ascii="宋体" w:hAnsi="宋体" w:eastAsia="宋体"/>
                <w:color w:val="auto"/>
                <w:kern w:val="0"/>
                <w:sz w:val="20"/>
                <w:szCs w:val="20"/>
              </w:rPr>
              <w:t xml:space="preserve">    第三条 县级以上人民政府房地产行政主管部门或者负责物业监督管理工作的部门（以下统称房地产行政主管部门）负责本行政区域内物业管理活动的监督管理工作。                                                     </w:t>
            </w:r>
            <w:r>
              <w:rPr>
                <w:rFonts w:hint="eastAsia" w:ascii="宋体" w:hAnsi="宋体" w:eastAsia="宋体"/>
                <w:color w:val="auto"/>
                <w:kern w:val="0"/>
                <w:sz w:val="20"/>
                <w:szCs w:val="20"/>
              </w:rPr>
              <w:br w:type="textWrapping"/>
            </w:r>
            <w:r>
              <w:rPr>
                <w:rFonts w:hint="eastAsia" w:ascii="宋体" w:hAnsi="宋体" w:eastAsia="宋体"/>
                <w:color w:val="auto"/>
                <w:kern w:val="0"/>
                <w:sz w:val="20"/>
                <w:szCs w:val="20"/>
              </w:rPr>
              <w:t xml:space="preserve">    环保、价格、规划、公安、民政等有关行政主管部门，依据各自职责做好物业管理区域内的相关监督管理工作。街道办事处、乡（镇）人民政府在房地产行政主管部门的指导下，具体负责组织、指导业主大会成立和业主委员会换届工作，监督业主大会和业主委员会依法履行职责，调解业主、业主委员会与物业服务企业之间的管理纠纷，协调物业管理工作。</w:t>
            </w:r>
          </w:p>
        </w:tc>
        <w:tc>
          <w:tcPr>
            <w:tcW w:w="1253" w:type="dxa"/>
            <w:tcBorders>
              <w:top w:val="single" w:color="auto" w:sz="4" w:space="0"/>
              <w:left w:val="nil"/>
              <w:bottom w:val="single" w:color="auto" w:sz="4" w:space="0"/>
              <w:right w:val="single" w:color="auto" w:sz="4" w:space="0"/>
            </w:tcBorders>
            <w:vAlign w:val="center"/>
          </w:tcPr>
          <w:p>
            <w:pPr>
              <w:spacing w:line="320" w:lineRule="exact"/>
              <w:rPr>
                <w:rFonts w:hint="eastAsia" w:ascii="宋体" w:hAnsi="宋体" w:eastAsia="宋体"/>
                <w:color w:val="auto"/>
                <w:sz w:val="20"/>
                <w:szCs w:val="20"/>
                <w:lang w:eastAsia="zh-CN"/>
              </w:rPr>
            </w:pPr>
            <w:r>
              <w:rPr>
                <w:rFonts w:hint="eastAsia" w:ascii="宋体" w:hAnsi="宋体"/>
                <w:color w:val="auto"/>
                <w:sz w:val="20"/>
                <w:szCs w:val="20"/>
                <w:lang w:eastAsia="zh-CN"/>
              </w:rPr>
              <w:t>兴庆区住房建设局</w:t>
            </w:r>
          </w:p>
        </w:tc>
        <w:tc>
          <w:tcPr>
            <w:tcW w:w="871" w:type="dxa"/>
            <w:tcBorders>
              <w:top w:val="single" w:color="auto" w:sz="4" w:space="0"/>
              <w:left w:val="nil"/>
              <w:bottom w:val="single" w:color="auto" w:sz="4" w:space="0"/>
              <w:right w:val="single" w:color="auto" w:sz="4" w:space="0"/>
            </w:tcBorders>
            <w:vAlign w:val="center"/>
          </w:tcPr>
          <w:p>
            <w:pPr>
              <w:spacing w:line="320" w:lineRule="exact"/>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871" w:type="dxa"/>
            <w:tcBorders>
              <w:top w:val="single" w:color="auto" w:sz="4" w:space="0"/>
              <w:left w:val="nil"/>
              <w:bottom w:val="single" w:color="auto" w:sz="4" w:space="0"/>
              <w:right w:val="single" w:color="auto" w:sz="4" w:space="0"/>
            </w:tcBorders>
            <w:vAlign w:val="center"/>
          </w:tcPr>
          <w:p>
            <w:pPr>
              <w:spacing w:line="320" w:lineRule="exact"/>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公用事业服务中心</w:t>
            </w:r>
          </w:p>
        </w:tc>
      </w:tr>
    </w:tbl>
    <w:p>
      <w:pPr>
        <w:pStyle w:val="6"/>
        <w:numPr>
          <w:ilvl w:val="0"/>
          <w:numId w:val="0"/>
        </w:numPr>
        <w:spacing w:before="624" w:beforeLines="200" w:beforeAutospacing="0" w:after="312" w:afterLines="100" w:line="480" w:lineRule="auto"/>
        <w:jc w:val="center"/>
        <w:rPr>
          <w:rFonts w:hint="eastAsia" w:ascii="黑体" w:hAnsi="黑体" w:eastAsia="黑体" w:cs="黑体"/>
          <w:color w:val="auto"/>
          <w:sz w:val="32"/>
          <w:szCs w:val="32"/>
          <w:lang w:eastAsia="zh-CN"/>
        </w:rPr>
      </w:pPr>
    </w:p>
    <w:p>
      <w:pPr>
        <w:pStyle w:val="6"/>
        <w:numPr>
          <w:ilvl w:val="0"/>
          <w:numId w:val="0"/>
        </w:numPr>
        <w:spacing w:before="624" w:beforeLines="200" w:beforeAutospacing="0" w:after="312" w:afterLines="100" w:line="480" w:lineRule="auto"/>
        <w:jc w:val="center"/>
        <w:rPr>
          <w:rFonts w:hint="eastAsia" w:ascii="黑体" w:hAnsi="黑体" w:eastAsia="黑体" w:cs="黑体"/>
          <w:color w:val="auto"/>
          <w:sz w:val="32"/>
          <w:szCs w:val="32"/>
          <w:lang w:eastAsia="zh-CN"/>
        </w:rPr>
      </w:pPr>
    </w:p>
    <w:p>
      <w:pPr>
        <w:pStyle w:val="6"/>
        <w:numPr>
          <w:ilvl w:val="0"/>
          <w:numId w:val="0"/>
        </w:numPr>
        <w:spacing w:before="624" w:beforeLines="200" w:beforeAutospacing="0" w:after="312" w:afterLines="100" w:line="480" w:lineRule="auto"/>
        <w:jc w:val="center"/>
        <w:rPr>
          <w:rFonts w:hint="eastAsia" w:ascii="黑体" w:hAnsi="黑体" w:eastAsia="黑体" w:cs="黑体"/>
          <w:color w:val="auto"/>
          <w:sz w:val="32"/>
          <w:szCs w:val="32"/>
          <w:lang w:eastAsia="zh-CN"/>
        </w:rPr>
      </w:pPr>
    </w:p>
    <w:p>
      <w:pPr>
        <w:pStyle w:val="6"/>
        <w:numPr>
          <w:ilvl w:val="0"/>
          <w:numId w:val="0"/>
        </w:numPr>
        <w:spacing w:before="624" w:beforeLines="200" w:beforeAutospacing="0" w:after="312" w:afterLines="100" w:line="480" w:lineRule="auto"/>
        <w:jc w:val="center"/>
        <w:rPr>
          <w:rFonts w:ascii="黑体" w:hAnsi="黑体" w:eastAsia="黑体" w:cs="黑体"/>
          <w:color w:val="auto"/>
          <w:sz w:val="32"/>
          <w:szCs w:val="32"/>
        </w:rPr>
      </w:pPr>
      <w:bookmarkStart w:id="0" w:name="_GoBack"/>
      <w:bookmarkEnd w:id="0"/>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行政强制（1项）</w:t>
      </w:r>
    </w:p>
    <w:tbl>
      <w:tblPr>
        <w:tblStyle w:val="10"/>
        <w:tblW w:w="14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467"/>
        <w:gridCol w:w="9973"/>
        <w:gridCol w:w="1374"/>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序号</w:t>
            </w:r>
          </w:p>
        </w:tc>
        <w:tc>
          <w:tcPr>
            <w:tcW w:w="1467"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职权名称</w:t>
            </w:r>
          </w:p>
        </w:tc>
        <w:tc>
          <w:tcPr>
            <w:tcW w:w="9973"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设定依据</w:t>
            </w:r>
          </w:p>
        </w:tc>
        <w:tc>
          <w:tcPr>
            <w:tcW w:w="1374"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原行使层级</w:t>
            </w:r>
          </w:p>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及部门</w:t>
            </w:r>
          </w:p>
        </w:tc>
        <w:tc>
          <w:tcPr>
            <w:tcW w:w="764"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lang w:eastAsia="zh-CN"/>
              </w:rPr>
            </w:pPr>
            <w:r>
              <w:rPr>
                <w:rFonts w:hint="eastAsia" w:ascii="方正黑体简体" w:hAnsi="方正黑体简体" w:eastAsia="方正黑体简体" w:cs="方正黑体简体"/>
                <w:bCs/>
                <w:color w:val="auto"/>
                <w:sz w:val="20"/>
                <w:szCs w:val="20"/>
                <w:lang w:eastAsia="zh-CN"/>
              </w:rPr>
              <w:t>承接部门</w:t>
            </w:r>
          </w:p>
        </w:tc>
        <w:tc>
          <w:tcPr>
            <w:tcW w:w="764" w:type="dxa"/>
            <w:tcBorders>
              <w:top w:val="single" w:color="auto" w:sz="4" w:space="0"/>
              <w:left w:val="nil"/>
              <w:bottom w:val="single" w:color="auto" w:sz="4" w:space="0"/>
              <w:right w:val="single" w:color="auto" w:sz="4" w:space="0"/>
            </w:tcBorders>
            <w:vAlign w:val="center"/>
          </w:tcPr>
          <w:p>
            <w:pPr>
              <w:jc w:val="center"/>
              <w:rPr>
                <w:rFonts w:hint="default" w:ascii="方正黑体简体" w:hAnsi="方正黑体简体" w:eastAsia="方正黑体简体" w:cs="方正黑体简体"/>
                <w:bCs/>
                <w:color w:val="auto"/>
                <w:sz w:val="20"/>
                <w:szCs w:val="20"/>
                <w:lang w:val="en-US" w:eastAsia="zh-CN"/>
              </w:rPr>
            </w:pPr>
            <w:r>
              <w:rPr>
                <w:rFonts w:hint="eastAsia" w:ascii="方正黑体简体" w:hAnsi="方正黑体简体" w:eastAsia="方正黑体简体" w:cs="方正黑体简体"/>
                <w:bCs/>
                <w:color w:val="auto"/>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pStyle w:val="6"/>
              <w:autoSpaceDE w:val="0"/>
              <w:spacing w:beforeAutospacing="0"/>
              <w:ind w:left="0" w:leftChars="0" w:firstLine="0" w:firstLineChars="0"/>
              <w:jc w:val="center"/>
              <w:rPr>
                <w:rFonts w:hint="eastAsia" w:ascii="宋体" w:hAnsi="宋体"/>
                <w:color w:val="auto"/>
                <w:sz w:val="20"/>
                <w:szCs w:val="20"/>
                <w:highlight w:val="none"/>
              </w:rPr>
            </w:pPr>
            <w:r>
              <w:rPr>
                <w:rFonts w:hint="eastAsia" w:ascii="宋体" w:hAnsi="宋体"/>
                <w:color w:val="auto"/>
                <w:sz w:val="20"/>
                <w:szCs w:val="20"/>
                <w:highlight w:val="none"/>
              </w:rPr>
              <w:t>1</w:t>
            </w:r>
          </w:p>
        </w:tc>
        <w:tc>
          <w:tcPr>
            <w:tcW w:w="1467" w:type="dxa"/>
            <w:tcBorders>
              <w:top w:val="single" w:color="auto" w:sz="4" w:space="0"/>
              <w:left w:val="nil"/>
              <w:bottom w:val="single" w:color="auto" w:sz="4" w:space="0"/>
              <w:right w:val="single" w:color="auto" w:sz="4" w:space="0"/>
            </w:tcBorders>
            <w:vAlign w:val="center"/>
          </w:tcPr>
          <w:p>
            <w:pPr>
              <w:widowControl/>
              <w:autoSpaceDE w:val="0"/>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代为补种树木</w:t>
            </w:r>
          </w:p>
        </w:tc>
        <w:tc>
          <w:tcPr>
            <w:tcW w:w="9973" w:type="dxa"/>
            <w:tcBorders>
              <w:top w:val="single" w:color="auto" w:sz="4" w:space="0"/>
              <w:left w:val="nil"/>
              <w:bottom w:val="single" w:color="auto" w:sz="4" w:space="0"/>
              <w:right w:val="single" w:color="auto" w:sz="4" w:space="0"/>
            </w:tcBorders>
            <w:vAlign w:val="center"/>
          </w:tcPr>
          <w:p>
            <w:pPr>
              <w:widowControl/>
              <w:autoSpaceDE w:val="0"/>
              <w:ind w:firstLine="400" w:firstLineChars="200"/>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【法律】《中华人民共和国森林法》(2019年</w:t>
            </w:r>
            <w:r>
              <w:rPr>
                <w:rFonts w:hint="eastAsia" w:ascii="宋体" w:hAnsi="宋体"/>
                <w:color w:val="auto"/>
                <w:sz w:val="20"/>
                <w:szCs w:val="20"/>
                <w:highlight w:val="none"/>
              </w:rPr>
              <w:t>12月</w:t>
            </w:r>
            <w:r>
              <w:rPr>
                <w:rFonts w:hint="eastAsia" w:ascii="宋体" w:hAnsi="宋体"/>
                <w:color w:val="auto"/>
                <w:sz w:val="20"/>
                <w:szCs w:val="20"/>
                <w:highlight w:val="none"/>
                <w:lang w:eastAsia="zh-CN"/>
              </w:rPr>
              <w:t>中华人民共和国</w:t>
            </w:r>
            <w:r>
              <w:rPr>
                <w:rFonts w:hint="eastAsia" w:ascii="宋体" w:hAnsi="宋体"/>
                <w:color w:val="auto"/>
                <w:sz w:val="20"/>
                <w:szCs w:val="20"/>
                <w:highlight w:val="none"/>
              </w:rPr>
              <w:t>主席令第39号修订</w:t>
            </w:r>
            <w:r>
              <w:rPr>
                <w:rFonts w:hint="eastAsia" w:ascii="宋体" w:hAnsi="宋体"/>
                <w:color w:val="auto"/>
                <w:kern w:val="0"/>
                <w:sz w:val="20"/>
                <w:szCs w:val="20"/>
                <w:highlight w:val="none"/>
              </w:rPr>
              <w:t>)</w:t>
            </w:r>
          </w:p>
          <w:p>
            <w:pPr>
              <w:widowControl/>
              <w:autoSpaceDE w:val="0"/>
              <w:ind w:firstLine="400" w:firstLineChars="200"/>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w:t>
            </w:r>
          </w:p>
          <w:p>
            <w:pPr>
              <w:widowControl/>
              <w:autoSpaceDE w:val="0"/>
              <w:ind w:firstLine="400" w:firstLineChars="200"/>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恢复植被和林业生产条件、树木补种的标准，由省级以上人民政府林业主管部门制定。</w:t>
            </w:r>
          </w:p>
        </w:tc>
        <w:tc>
          <w:tcPr>
            <w:tcW w:w="1374" w:type="dxa"/>
            <w:tcBorders>
              <w:top w:val="single" w:color="auto" w:sz="4" w:space="0"/>
              <w:left w:val="nil"/>
              <w:bottom w:val="single" w:color="auto" w:sz="4" w:space="0"/>
              <w:right w:val="single" w:color="auto" w:sz="4" w:space="0"/>
            </w:tcBorders>
            <w:vAlign w:val="center"/>
          </w:tcPr>
          <w:p>
            <w:pPr>
              <w:autoSpaceDE w:val="0"/>
              <w:rPr>
                <w:rFonts w:hint="eastAsia" w:ascii="宋体" w:hAnsi="宋体"/>
                <w:color w:val="auto"/>
                <w:sz w:val="20"/>
                <w:szCs w:val="20"/>
                <w:highlight w:val="none"/>
              </w:rPr>
            </w:pPr>
            <w:r>
              <w:rPr>
                <w:rFonts w:hint="eastAsia" w:ascii="宋体" w:hAnsi="宋体"/>
                <w:color w:val="auto"/>
                <w:spacing w:val="0"/>
                <w:sz w:val="20"/>
                <w:szCs w:val="20"/>
                <w:highlight w:val="none"/>
                <w:lang w:eastAsia="zh-CN"/>
              </w:rPr>
              <w:t>兴庆区综合执法局</w:t>
            </w:r>
          </w:p>
        </w:tc>
        <w:tc>
          <w:tcPr>
            <w:tcW w:w="764" w:type="dxa"/>
            <w:tcBorders>
              <w:top w:val="single" w:color="auto" w:sz="4" w:space="0"/>
              <w:left w:val="nil"/>
              <w:bottom w:val="single" w:color="auto" w:sz="4" w:space="0"/>
              <w:right w:val="single" w:color="auto" w:sz="4" w:space="0"/>
            </w:tcBorders>
            <w:vAlign w:val="center"/>
          </w:tcPr>
          <w:p>
            <w:pPr>
              <w:autoSpaceDE w:val="0"/>
              <w:rPr>
                <w:rFonts w:hint="eastAsia" w:ascii="宋体" w:hAnsi="宋体"/>
                <w:color w:val="auto"/>
                <w:kern w:val="0"/>
                <w:sz w:val="20"/>
                <w:szCs w:val="20"/>
                <w:highlight w:val="none"/>
              </w:rPr>
            </w:pPr>
            <w:r>
              <w:rPr>
                <w:rFonts w:hint="eastAsia" w:ascii="宋体" w:hAnsi="宋体"/>
                <w:color w:val="auto"/>
                <w:spacing w:val="0"/>
                <w:sz w:val="20"/>
                <w:szCs w:val="20"/>
                <w:highlight w:val="none"/>
                <w:lang w:val="en-US" w:eastAsia="zh-CN"/>
              </w:rPr>
              <w:t>兴庆区前进街街道办事处</w:t>
            </w:r>
          </w:p>
        </w:tc>
        <w:tc>
          <w:tcPr>
            <w:tcW w:w="764" w:type="dxa"/>
            <w:tcBorders>
              <w:top w:val="single" w:color="auto" w:sz="4" w:space="0"/>
              <w:left w:val="nil"/>
              <w:bottom w:val="single" w:color="auto" w:sz="4" w:space="0"/>
              <w:right w:val="single" w:color="auto" w:sz="4" w:space="0"/>
            </w:tcBorders>
            <w:vAlign w:val="center"/>
          </w:tcPr>
          <w:p>
            <w:pPr>
              <w:autoSpaceDE w:val="0"/>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公用事业服务中心</w:t>
            </w:r>
          </w:p>
        </w:tc>
      </w:tr>
    </w:tbl>
    <w:p>
      <w:pPr>
        <w:pStyle w:val="6"/>
        <w:spacing w:before="624" w:beforeLines="200" w:beforeAutospacing="0" w:after="312" w:afterLines="100" w:line="480" w:lineRule="auto"/>
        <w:ind w:left="0" w:leftChars="0" w:firstLine="0" w:firstLineChars="0"/>
        <w:jc w:val="center"/>
        <w:rPr>
          <w:rFonts w:hint="eastAsia" w:ascii="黑体" w:hAnsi="黑体" w:eastAsia="黑体" w:cs="黑体"/>
          <w:color w:val="auto"/>
          <w:sz w:val="36"/>
          <w:szCs w:val="36"/>
          <w:lang w:eastAsia="zh-CN"/>
        </w:rPr>
      </w:pPr>
    </w:p>
    <w:p>
      <w:pPr>
        <w:pStyle w:val="6"/>
        <w:spacing w:before="624" w:beforeLines="200" w:beforeAutospacing="0" w:after="312" w:afterLines="100" w:line="480" w:lineRule="auto"/>
        <w:ind w:left="0" w:leftChars="0" w:firstLine="0" w:firstLineChars="0"/>
        <w:jc w:val="center"/>
        <w:rPr>
          <w:rFonts w:hint="eastAsia" w:ascii="黑体" w:hAnsi="黑体" w:eastAsia="黑体" w:cs="黑体"/>
          <w:color w:val="auto"/>
          <w:sz w:val="36"/>
          <w:szCs w:val="36"/>
          <w:lang w:eastAsia="zh-CN"/>
        </w:rPr>
      </w:pPr>
    </w:p>
    <w:p>
      <w:pPr>
        <w:pStyle w:val="6"/>
        <w:spacing w:before="624" w:beforeLines="200" w:beforeAutospacing="0" w:after="312" w:afterLines="100" w:line="480" w:lineRule="auto"/>
        <w:ind w:left="0" w:leftChars="0" w:firstLine="0" w:firstLineChars="0"/>
        <w:jc w:val="center"/>
        <w:rPr>
          <w:rFonts w:hint="eastAsia" w:ascii="黑体" w:hAnsi="黑体" w:eastAsia="黑体" w:cs="黑体"/>
          <w:color w:val="auto"/>
          <w:sz w:val="36"/>
          <w:szCs w:val="36"/>
          <w:lang w:eastAsia="zh-CN"/>
        </w:rPr>
      </w:pPr>
    </w:p>
    <w:p>
      <w:pPr>
        <w:pStyle w:val="6"/>
        <w:spacing w:before="624" w:beforeLines="200" w:beforeAutospacing="0" w:after="312" w:afterLines="100" w:line="480" w:lineRule="auto"/>
        <w:ind w:left="0" w:leftChars="0" w:firstLine="0" w:firstLineChars="0"/>
        <w:jc w:val="center"/>
        <w:rPr>
          <w:rFonts w:ascii="黑体" w:hAnsi="黑体" w:eastAsia="黑体" w:cs="黑体"/>
          <w:color w:val="auto"/>
          <w:sz w:val="32"/>
          <w:szCs w:val="32"/>
        </w:rPr>
      </w:pPr>
      <w:r>
        <w:rPr>
          <w:rFonts w:hint="eastAsia" w:ascii="黑体" w:hAnsi="黑体" w:eastAsia="黑体" w:cs="黑体"/>
          <w:color w:val="auto"/>
          <w:sz w:val="36"/>
          <w:szCs w:val="36"/>
          <w:lang w:eastAsia="zh-CN"/>
        </w:rPr>
        <w:t>四</w:t>
      </w:r>
      <w:r>
        <w:rPr>
          <w:rFonts w:hint="eastAsia" w:ascii="黑体" w:hAnsi="黑体" w:eastAsia="黑体" w:cs="黑体"/>
          <w:color w:val="auto"/>
          <w:sz w:val="36"/>
          <w:szCs w:val="36"/>
        </w:rPr>
        <w:t>、</w:t>
      </w:r>
      <w:r>
        <w:rPr>
          <w:rFonts w:hint="eastAsia" w:ascii="黑体" w:hAnsi="黑体" w:eastAsia="黑体" w:cs="黑体"/>
          <w:color w:val="auto"/>
          <w:sz w:val="32"/>
          <w:szCs w:val="32"/>
        </w:rPr>
        <w:t>行政给付（</w:t>
      </w:r>
      <w:r>
        <w:rPr>
          <w:rFonts w:hint="eastAsia" w:ascii="黑体" w:hAnsi="黑体" w:eastAsia="黑体" w:cs="黑体"/>
          <w:color w:val="auto"/>
          <w:sz w:val="32"/>
          <w:szCs w:val="32"/>
          <w:lang w:val="en-US" w:eastAsia="zh-CN"/>
        </w:rPr>
        <w:t>8</w:t>
      </w:r>
      <w:r>
        <w:rPr>
          <w:rFonts w:hint="eastAsia" w:ascii="黑体" w:hAnsi="黑体" w:eastAsia="黑体" w:cs="黑体"/>
          <w:color w:val="auto"/>
          <w:sz w:val="32"/>
          <w:szCs w:val="32"/>
        </w:rPr>
        <w:t>项）</w:t>
      </w:r>
    </w:p>
    <w:tbl>
      <w:tblPr>
        <w:tblStyle w:val="10"/>
        <w:tblW w:w="14972" w:type="dxa"/>
        <w:jc w:val="center"/>
        <w:tblInd w:w="0" w:type="dxa"/>
        <w:tblLayout w:type="fixed"/>
        <w:tblCellMar>
          <w:top w:w="0" w:type="dxa"/>
          <w:left w:w="0" w:type="dxa"/>
          <w:bottom w:w="0" w:type="dxa"/>
          <w:right w:w="0" w:type="dxa"/>
        </w:tblCellMar>
      </w:tblPr>
      <w:tblGrid>
        <w:gridCol w:w="707"/>
        <w:gridCol w:w="1356"/>
        <w:gridCol w:w="9993"/>
        <w:gridCol w:w="1384"/>
        <w:gridCol w:w="733"/>
        <w:gridCol w:w="799"/>
      </w:tblGrid>
      <w:tr>
        <w:tblPrEx>
          <w:tblLayout w:type="fixed"/>
          <w:tblCellMar>
            <w:top w:w="0" w:type="dxa"/>
            <w:left w:w="0" w:type="dxa"/>
            <w:bottom w:w="0" w:type="dxa"/>
            <w:right w:w="0" w:type="dxa"/>
          </w:tblCellMar>
        </w:tblPrEx>
        <w:trPr>
          <w:trHeight w:val="562" w:hRule="atLeast"/>
          <w:tblHeader/>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序号</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职权名称</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设定依据</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原行使层级</w:t>
            </w:r>
          </w:p>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及部门</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jc w:val="center"/>
              <w:rPr>
                <w:rFonts w:hint="eastAsia" w:ascii="方正黑体简体" w:hAnsi="方正黑体简体" w:eastAsia="方正黑体简体" w:cs="方正黑体简体"/>
                <w:color w:val="auto"/>
                <w:sz w:val="20"/>
                <w:szCs w:val="20"/>
                <w:lang w:eastAsia="zh-CN"/>
              </w:rPr>
            </w:pPr>
            <w:r>
              <w:rPr>
                <w:rFonts w:hint="eastAsia" w:ascii="方正黑体简体" w:hAnsi="方正黑体简体" w:eastAsia="方正黑体简体" w:cs="方正黑体简体"/>
                <w:color w:val="auto"/>
                <w:sz w:val="20"/>
                <w:szCs w:val="20"/>
                <w:lang w:eastAsia="zh-CN"/>
              </w:rPr>
              <w:t>承接部门</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jc w:val="center"/>
              <w:rPr>
                <w:rFonts w:hint="default" w:ascii="方正黑体简体" w:hAnsi="方正黑体简体" w:eastAsia="方正黑体简体" w:cs="方正黑体简体"/>
                <w:color w:val="auto"/>
                <w:sz w:val="20"/>
                <w:szCs w:val="20"/>
                <w:lang w:val="en-US" w:eastAsia="zh-CN"/>
              </w:rPr>
            </w:pPr>
            <w:r>
              <w:rPr>
                <w:rFonts w:hint="eastAsia" w:ascii="方正黑体简体" w:hAnsi="方正黑体简体" w:eastAsia="方正黑体简体" w:cs="方正黑体简体"/>
                <w:color w:val="auto"/>
                <w:sz w:val="20"/>
                <w:szCs w:val="20"/>
                <w:lang w:val="en-US" w:eastAsia="zh-CN"/>
              </w:rPr>
              <w:t>备注</w:t>
            </w:r>
          </w:p>
        </w:tc>
      </w:tr>
      <w:tr>
        <w:tblPrEx>
          <w:tblLayout w:type="fixed"/>
          <w:tblCellMar>
            <w:top w:w="0" w:type="dxa"/>
            <w:left w:w="0" w:type="dxa"/>
            <w:bottom w:w="0" w:type="dxa"/>
            <w:right w:w="0" w:type="dxa"/>
          </w:tblCellMar>
        </w:tblPrEx>
        <w:trPr>
          <w:trHeight w:val="112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eastAsia="宋体"/>
                <w:color w:val="auto"/>
                <w:kern w:val="0"/>
                <w:sz w:val="20"/>
                <w:szCs w:val="20"/>
              </w:rPr>
              <w:t>1</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rPr>
              <w:t>老年人福利补贴</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【法律】《中华人民共和国老年人权益保障法》（2018</w:t>
            </w:r>
            <w:r>
              <w:rPr>
                <w:rFonts w:hint="eastAsia" w:ascii="宋体" w:hAnsi="宋体" w:eastAsia="宋体"/>
                <w:color w:val="auto"/>
                <w:kern w:val="0"/>
                <w:sz w:val="20"/>
                <w:szCs w:val="20"/>
                <w:lang w:eastAsia="zh-CN"/>
              </w:rPr>
              <w:t>年中华人民共和国</w:t>
            </w:r>
            <w:r>
              <w:rPr>
                <w:rFonts w:hint="eastAsia" w:ascii="宋体" w:hAnsi="宋体" w:eastAsia="宋体"/>
                <w:color w:val="auto"/>
                <w:kern w:val="0"/>
                <w:sz w:val="20"/>
                <w:szCs w:val="20"/>
              </w:rPr>
              <w:t>主席令第24号</w:t>
            </w:r>
            <w:r>
              <w:rPr>
                <w:rFonts w:hint="eastAsia" w:ascii="宋体" w:hAnsi="宋体" w:eastAsia="宋体"/>
                <w:color w:val="auto"/>
                <w:kern w:val="0"/>
                <w:sz w:val="20"/>
                <w:szCs w:val="20"/>
                <w:lang w:eastAsia="zh-CN"/>
              </w:rPr>
              <w:t>修正</w:t>
            </w:r>
            <w:r>
              <w:rPr>
                <w:rFonts w:hint="eastAsia" w:ascii="宋体" w:hAnsi="宋体" w:eastAsia="宋体"/>
                <w:color w:val="auto"/>
                <w:kern w:val="0"/>
                <w:sz w:val="20"/>
                <w:szCs w:val="20"/>
              </w:rPr>
              <w:t>）</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第三十三条第一款 国家建立和完善老年人福利制度，根据经济社会发展水平和老年人的实际需要，增加老年人的社会福利。第二款国家鼓励地方建立八十周岁以上低收入老年人高龄津贴制度。第二款　对生活长期不能自理、经济困难的老年人，地方各级人民政府应当根据其失能程度等情况给予护理补贴。</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default"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Layout w:type="fixed"/>
          <w:tblCellMar>
            <w:top w:w="0" w:type="dxa"/>
            <w:left w:w="0" w:type="dxa"/>
            <w:bottom w:w="0" w:type="dxa"/>
            <w:right w:w="0" w:type="dxa"/>
          </w:tblCellMar>
        </w:tblPrEx>
        <w:trPr>
          <w:trHeight w:val="3701"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eastAsia="宋体"/>
                <w:color w:val="auto"/>
                <w:kern w:val="0"/>
                <w:sz w:val="20"/>
                <w:szCs w:val="20"/>
              </w:rPr>
              <w:t>2</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rPr>
              <w:t>困难残疾人生活补贴</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【规范性文件】《国务院关于全面建立困难残疾人生活补贴和重度残疾人护理补贴制度的意见》（国发〔2015〕52号）</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三、申领程序和管理办法</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四、保障措施</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lang w:eastAsia="zh-CN"/>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Layout w:type="fixed"/>
          <w:tblCellMar>
            <w:top w:w="0" w:type="dxa"/>
            <w:left w:w="0" w:type="dxa"/>
            <w:bottom w:w="0" w:type="dxa"/>
            <w:right w:w="0" w:type="dxa"/>
          </w:tblCellMar>
        </w:tblPrEx>
        <w:trPr>
          <w:trHeight w:val="624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eastAsia="宋体"/>
                <w:color w:val="auto"/>
                <w:kern w:val="0"/>
                <w:sz w:val="20"/>
                <w:szCs w:val="20"/>
              </w:rPr>
              <w:t>3</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rPr>
              <w:t>重度残疾人护理补贴</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【规范性文件】《国务院关于全面建立困难残疾人生活补贴和重度残疾人护理补贴制度的意见》（国发〔2015〕52号）</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二、主要内容</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一）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三、申领程序和管理办法</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四、保障措施</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Layout w:type="fixed"/>
          <w:tblCellMar>
            <w:top w:w="0" w:type="dxa"/>
            <w:left w:w="0" w:type="dxa"/>
            <w:bottom w:w="0" w:type="dxa"/>
            <w:right w:w="0" w:type="dxa"/>
          </w:tblCellMar>
        </w:tblPrEx>
        <w:trPr>
          <w:trHeight w:val="5873"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eastAsia="宋体"/>
                <w:color w:val="auto"/>
                <w:kern w:val="0"/>
                <w:sz w:val="20"/>
                <w:szCs w:val="20"/>
              </w:rPr>
              <w:t>4</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rPr>
              <w:t>特困人员认定、救助供养金给付</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【行政法规】《社会救助暂行办法》（2019年3月国务院令第709号修订）</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第十一条 县级人民政府民政部门经审查，对符合条件的申请予以批准，并在申请人所在村、社区公布；对不符合条件的申请不予批准，并书面向申请人说明理由。</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第十四条 国家对无劳动能力、无生活来源且无法定赡养、抚养、扶养义务人，或者其法定赡养、抚养、扶养义务人无赡养、抚养、扶养能力的老年人、残疾人以及未满16周岁的未成年人，给予特困人员供养。</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第十五条 特困人员供养的内容包括：</w:t>
            </w:r>
          </w:p>
          <w:p>
            <w:pPr>
              <w:keepNext w:val="0"/>
              <w:keepLines w:val="0"/>
              <w:pageBreakBefore w:val="0"/>
              <w:widowControl/>
              <w:kinsoku/>
              <w:wordWrap/>
              <w:overflowPunct/>
              <w:topLinePunct w:val="0"/>
              <w:autoSpaceDE/>
              <w:autoSpaceDN/>
              <w:bidi w:val="0"/>
              <w:adjustRightInd w:val="0"/>
              <w:snapToGrid w:val="0"/>
              <w:ind w:firstLine="458" w:firstLineChars="229"/>
              <w:textAlignment w:val="auto"/>
              <w:outlineLvl w:val="9"/>
              <w:rPr>
                <w:rFonts w:hint="eastAsia" w:ascii="宋体" w:hAnsi="宋体" w:eastAsia="宋体"/>
                <w:color w:val="auto"/>
                <w:kern w:val="0"/>
                <w:sz w:val="20"/>
                <w:szCs w:val="20"/>
              </w:rPr>
            </w:pPr>
            <w:r>
              <w:rPr>
                <w:rFonts w:hint="eastAsia" w:ascii="宋体" w:hAnsi="宋体" w:eastAsia="宋体"/>
                <w:color w:val="auto"/>
                <w:kern w:val="0"/>
                <w:sz w:val="20"/>
                <w:szCs w:val="20"/>
              </w:rPr>
              <w:t>(一)提供基本生活条件；</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（二）对生活不能自理的给予照料；</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（三）提供疾病治疗；</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（四）办理丧葬事宜。特困人员供养标准，由省、自治区、直辖市或者设区的市级人民政府确定、公布。</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第十六条第二款 特困人员供养的审批程序适用本办法第十一条规定。</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【规范性文件】《国务院关于进一步健全特困人员救助供养制度的意见》（国发〔2016〕14号）</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（一）对象范围。城乡老年人、残疾人以及未满16周岁的未成年人，同时具备以下条件的，应当依法纳入特困人员救助供养范围：</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无劳动能力、无生活来源、无法定赡养抚养扶养义务人或者其法定义务人无履行义务能力。具体认定办法由民政部负责制定。</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lang w:eastAsia="zh-CN"/>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Layout w:type="fixed"/>
          <w:tblCellMar>
            <w:top w:w="0" w:type="dxa"/>
            <w:left w:w="0" w:type="dxa"/>
            <w:bottom w:w="0" w:type="dxa"/>
            <w:right w:w="0" w:type="dxa"/>
          </w:tblCellMar>
        </w:tblPrEx>
        <w:trPr>
          <w:trHeight w:val="335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eastAsia="宋体"/>
                <w:color w:val="auto"/>
                <w:kern w:val="0"/>
                <w:sz w:val="20"/>
                <w:szCs w:val="20"/>
              </w:rPr>
              <w:t>5</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rPr>
              <w:t>对孤儿基本生活保障金的给付</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【规范性文件】《国务院办公厅关于加强孤儿保障工作的意见》（国办发[2010]54号）</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一、拓展安置渠道，妥善安置孤儿</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（二）机构养育。对没有亲属和其他监护人抚养的孤儿，经依法公告后由民政部门设立的儿童福利机构收留抚养。</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二、建立健全孤儿保障体系，维护孤儿基本权益。</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Layout w:type="fixed"/>
          <w:tblCellMar>
            <w:top w:w="0" w:type="dxa"/>
            <w:left w:w="0" w:type="dxa"/>
            <w:bottom w:w="0" w:type="dxa"/>
            <w:right w:w="0" w:type="dxa"/>
          </w:tblCellMar>
        </w:tblPrEx>
        <w:trPr>
          <w:trHeight w:val="278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eastAsia="宋体"/>
                <w:color w:val="auto"/>
                <w:kern w:val="0"/>
                <w:sz w:val="20"/>
                <w:szCs w:val="20"/>
              </w:rPr>
              <w:t>6</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rPr>
              <w:t>临时救助对象认定、救助金给付</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【行政法规】《社会救助暂行办法》（2019年3月国务院令第709号修订）</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Layout w:type="fixed"/>
          <w:tblCellMar>
            <w:top w:w="0" w:type="dxa"/>
            <w:left w:w="0" w:type="dxa"/>
            <w:bottom w:w="0" w:type="dxa"/>
            <w:right w:w="0" w:type="dxa"/>
          </w:tblCellMar>
        </w:tblPrEx>
        <w:trPr>
          <w:trHeight w:val="264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jc w:val="center"/>
              <w:textAlignment w:val="center"/>
              <w:rPr>
                <w:rFonts w:hint="eastAsia" w:ascii="宋体" w:hAnsi="宋体" w:eastAsia="宋体"/>
                <w:bCs/>
                <w:color w:val="auto"/>
                <w:sz w:val="20"/>
                <w:szCs w:val="20"/>
                <w:lang w:eastAsia="zh-CN"/>
              </w:rPr>
            </w:pPr>
            <w:r>
              <w:rPr>
                <w:rFonts w:hint="eastAsia" w:ascii="宋体" w:hAnsi="宋体"/>
                <w:bCs/>
                <w:color w:val="auto"/>
                <w:kern w:val="0"/>
                <w:sz w:val="20"/>
                <w:szCs w:val="20"/>
                <w:lang w:val="en-US" w:eastAsia="zh-CN"/>
              </w:rPr>
              <w:t>7</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城市居民最低生活保障救助资金的给付</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【行政法规】《社会救助暂行办法》（2019年3月国务院令第709号修订）</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第九条 国家对共同生活的家庭成员人均收入低于当地最低生活保障标准，且符合当地最低生活保障家庭财产状况规定的家庭，给予最低生活保障。</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第十一条 县级人民政府民政部门经审查，对符合条件的申请予以批准，并在申请人所在村、社区公布；对不符合条件的申请不予批准，并书面向申请人说明理由。</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第十二条 对批准获得最低生活保障的家庭，县级人民政府民政部门按照共同生活的家庭成员人均收入低于当地最低生活保障标准的差额，按月发给最低生活保障金。</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【地方政府规章】《宁夏回族自治区城市居民最低生活保障实施办法》（2003年</w:t>
            </w:r>
            <w:r>
              <w:rPr>
                <w:rFonts w:hint="eastAsia" w:ascii="宋体" w:hAnsi="宋体" w:eastAsia="宋体"/>
                <w:color w:val="auto"/>
                <w:kern w:val="0"/>
                <w:sz w:val="20"/>
                <w:szCs w:val="20"/>
                <w:lang w:eastAsia="zh-CN"/>
              </w:rPr>
              <w:t>宁夏回族</w:t>
            </w:r>
            <w:r>
              <w:rPr>
                <w:rFonts w:hint="eastAsia" w:ascii="宋体" w:hAnsi="宋体" w:eastAsia="宋体"/>
                <w:color w:val="auto"/>
                <w:kern w:val="0"/>
                <w:sz w:val="20"/>
                <w:szCs w:val="20"/>
              </w:rPr>
              <w:t>自治区政府令第54号）</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sz w:val="20"/>
                <w:szCs w:val="20"/>
              </w:rPr>
            </w:pPr>
            <w:r>
              <w:rPr>
                <w:rFonts w:hint="eastAsia" w:ascii="宋体" w:hAnsi="宋体" w:eastAsia="宋体"/>
                <w:color w:val="auto"/>
                <w:kern w:val="0"/>
                <w:sz w:val="20"/>
                <w:szCs w:val="20"/>
              </w:rPr>
              <w:t>第四条第一款  县级以上人民政府民政部门负责本行政区域内城市居民最低生活保障的管理工作。</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jc w:val="left"/>
              <w:textAlignment w:val="center"/>
              <w:rPr>
                <w:rFonts w:hint="eastAsia" w:ascii="宋体" w:hAnsi="宋体" w:eastAsia="宋体"/>
                <w:bCs/>
                <w:color w:val="auto"/>
                <w:sz w:val="20"/>
                <w:szCs w:val="20"/>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jc w:val="center"/>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jc w:val="center"/>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Layout w:type="fixed"/>
          <w:tblCellMar>
            <w:top w:w="0" w:type="dxa"/>
            <w:left w:w="0" w:type="dxa"/>
            <w:bottom w:w="0" w:type="dxa"/>
            <w:right w:w="0" w:type="dxa"/>
          </w:tblCellMar>
        </w:tblPrEx>
        <w:trPr>
          <w:trHeight w:val="400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jc w:val="center"/>
              <w:textAlignment w:val="center"/>
              <w:rPr>
                <w:rFonts w:hint="eastAsia" w:ascii="宋体" w:hAnsi="宋体" w:eastAsia="宋体"/>
                <w:bCs/>
                <w:color w:val="auto"/>
                <w:sz w:val="20"/>
                <w:szCs w:val="20"/>
                <w:lang w:eastAsia="zh-CN"/>
              </w:rPr>
            </w:pPr>
            <w:r>
              <w:rPr>
                <w:rFonts w:hint="eastAsia" w:ascii="宋体" w:hAnsi="宋体"/>
                <w:bCs/>
                <w:color w:val="auto"/>
                <w:kern w:val="0"/>
                <w:sz w:val="20"/>
                <w:szCs w:val="20"/>
                <w:lang w:val="en-US" w:eastAsia="zh-CN"/>
              </w:rPr>
              <w:t>8</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计划生育家庭特别扶助金</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【法律】《中华人民共和国人口与计划生育法》（2015年12月中华人民共和国主席令第41号修正）</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【地方性法规】《宁夏回族自治区人口与计划生育条例》（2019年3月</w:t>
            </w:r>
            <w:r>
              <w:rPr>
                <w:rFonts w:hint="eastAsia" w:ascii="宋体" w:hAnsi="宋体" w:eastAsia="宋体"/>
                <w:color w:val="auto"/>
                <w:kern w:val="0"/>
                <w:sz w:val="20"/>
                <w:szCs w:val="20"/>
                <w:lang w:eastAsia="zh-CN"/>
              </w:rPr>
              <w:t>宁夏回族</w:t>
            </w:r>
            <w:r>
              <w:rPr>
                <w:rFonts w:hint="eastAsia" w:ascii="宋体" w:hAnsi="宋体" w:eastAsia="宋体"/>
                <w:color w:val="auto"/>
                <w:kern w:val="0"/>
                <w:sz w:val="20"/>
                <w:szCs w:val="20"/>
              </w:rPr>
              <w:t>自治区人民代表大会常务委员会公告第22号第五次修正）</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sz w:val="20"/>
                <w:szCs w:val="20"/>
              </w:rPr>
            </w:pPr>
            <w:r>
              <w:rPr>
                <w:rFonts w:hint="eastAsia" w:ascii="宋体" w:hAnsi="宋体" w:eastAsia="宋体"/>
                <w:color w:val="auto"/>
                <w:kern w:val="0"/>
                <w:sz w:val="20"/>
                <w:szCs w:val="20"/>
              </w:rPr>
              <w:t xml:space="preserve">第四十条 </w:t>
            </w:r>
            <w:r>
              <w:rPr>
                <w:rFonts w:hint="eastAsia" w:ascii="宋体" w:hAnsi="宋体" w:eastAsia="宋体"/>
                <w:color w:val="auto"/>
                <w:spacing w:val="6"/>
                <w:kern w:val="0"/>
                <w:sz w:val="20"/>
                <w:szCs w:val="20"/>
              </w:rPr>
              <w:t>在国家提倡一对夫妻生育一个子女期间，领取《独生子女父母光荣证》的家庭，子女死亡或者残疾（残疾达到三级以上），不再生育或者收养子女的，享受国家和自治区的计划生育家庭特别扶助金</w:t>
            </w:r>
            <w:r>
              <w:rPr>
                <w:rFonts w:hint="eastAsia" w:ascii="宋体" w:hAnsi="宋体" w:eastAsia="宋体"/>
                <w:color w:val="auto"/>
                <w:kern w:val="0"/>
                <w:sz w:val="20"/>
                <w:szCs w:val="20"/>
              </w:rPr>
              <w:t>。</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jc w:val="lef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lang w:eastAsia="zh-CN"/>
              </w:rPr>
              <w:t>兴庆区卫生健康局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jc w:val="center"/>
              <w:textAlignment w:val="center"/>
              <w:rPr>
                <w:rFonts w:hint="eastAsia" w:ascii="宋体" w:hAnsi="宋体" w:eastAsia="宋体"/>
                <w:bCs/>
                <w:color w:val="auto"/>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jc w:val="center"/>
              <w:textAlignment w:val="center"/>
              <w:rPr>
                <w:rFonts w:hint="eastAsia" w:ascii="宋体" w:hAnsi="宋体"/>
                <w:color w:val="auto"/>
                <w:spacing w:val="0"/>
                <w:sz w:val="20"/>
                <w:szCs w:val="20"/>
                <w:lang w:val="en-US" w:eastAsia="zh-CN"/>
              </w:rPr>
            </w:pPr>
            <w:r>
              <w:rPr>
                <w:rFonts w:hint="eastAsia" w:ascii="宋体" w:hAnsi="宋体" w:cs="宋体"/>
                <w:bCs/>
                <w:spacing w:val="0"/>
                <w:kern w:val="0"/>
                <w:sz w:val="20"/>
                <w:szCs w:val="20"/>
                <w:lang w:val="en-US" w:eastAsia="zh-CN"/>
              </w:rPr>
              <w:t>社会事务管理办公室</w:t>
            </w:r>
          </w:p>
        </w:tc>
      </w:tr>
    </w:tbl>
    <w:p>
      <w:pPr>
        <w:pStyle w:val="3"/>
        <w:spacing w:before="624" w:beforeLines="200" w:after="312" w:afterLines="100" w:line="360" w:lineRule="exact"/>
        <w:jc w:val="center"/>
        <w:rPr>
          <w:rFonts w:ascii="黑体" w:hAnsi="黑体" w:eastAsia="黑体"/>
          <w:b w:val="0"/>
          <w:bCs w:val="0"/>
          <w:color w:val="auto"/>
          <w:sz w:val="36"/>
          <w:szCs w:val="36"/>
        </w:rPr>
      </w:pPr>
      <w:r>
        <w:rPr>
          <w:rFonts w:hint="eastAsia" w:ascii="黑体" w:hAnsi="黑体" w:eastAsia="黑体"/>
          <w:b w:val="0"/>
          <w:bCs w:val="0"/>
          <w:color w:val="auto"/>
          <w:sz w:val="36"/>
          <w:szCs w:val="36"/>
          <w:lang w:eastAsia="zh-CN"/>
        </w:rPr>
        <w:t>五</w:t>
      </w:r>
      <w:r>
        <w:rPr>
          <w:rFonts w:ascii="黑体" w:hAnsi="黑体" w:eastAsia="黑体"/>
          <w:b w:val="0"/>
          <w:bCs w:val="0"/>
          <w:color w:val="auto"/>
          <w:sz w:val="36"/>
          <w:szCs w:val="36"/>
        </w:rPr>
        <w:t>、</w:t>
      </w:r>
      <w:r>
        <w:rPr>
          <w:rFonts w:hint="eastAsia" w:ascii="方正黑体简体" w:hAnsi="方正黑体简体" w:eastAsia="方正黑体简体" w:cs="方正黑体简体"/>
          <w:b w:val="0"/>
          <w:bCs w:val="0"/>
          <w:color w:val="auto"/>
          <w:sz w:val="32"/>
          <w:szCs w:val="32"/>
        </w:rPr>
        <w:t>公共服务（2</w:t>
      </w:r>
      <w:r>
        <w:rPr>
          <w:rFonts w:hint="eastAsia" w:ascii="方正黑体简体" w:hAnsi="方正黑体简体" w:eastAsia="方正黑体简体" w:cs="方正黑体简体"/>
          <w:b w:val="0"/>
          <w:bCs w:val="0"/>
          <w:color w:val="auto"/>
          <w:sz w:val="32"/>
          <w:szCs w:val="32"/>
          <w:lang w:val="en-US" w:eastAsia="zh-CN"/>
        </w:rPr>
        <w:t>3</w:t>
      </w:r>
      <w:r>
        <w:rPr>
          <w:rFonts w:hint="eastAsia" w:ascii="方正黑体简体" w:hAnsi="方正黑体简体" w:eastAsia="方正黑体简体" w:cs="方正黑体简体"/>
          <w:b w:val="0"/>
          <w:bCs w:val="0"/>
          <w:color w:val="auto"/>
          <w:sz w:val="32"/>
          <w:szCs w:val="32"/>
        </w:rPr>
        <w:t>项）</w:t>
      </w:r>
    </w:p>
    <w:tbl>
      <w:tblPr>
        <w:tblStyle w:val="10"/>
        <w:tblW w:w="14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07"/>
        <w:gridCol w:w="9747"/>
        <w:gridCol w:w="1413"/>
        <w:gridCol w:w="786"/>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20" w:type="dxa"/>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序号</w:t>
            </w:r>
          </w:p>
        </w:tc>
        <w:tc>
          <w:tcPr>
            <w:tcW w:w="1507" w:type="dxa"/>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职权名称</w:t>
            </w:r>
          </w:p>
        </w:tc>
        <w:tc>
          <w:tcPr>
            <w:tcW w:w="9747" w:type="dxa"/>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设定依据</w:t>
            </w:r>
          </w:p>
        </w:tc>
        <w:tc>
          <w:tcPr>
            <w:tcW w:w="1413" w:type="dxa"/>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原行使层级及部门</w:t>
            </w:r>
          </w:p>
        </w:tc>
        <w:tc>
          <w:tcPr>
            <w:tcW w:w="786" w:type="dxa"/>
            <w:vAlign w:val="center"/>
          </w:tcPr>
          <w:p>
            <w:pPr>
              <w:jc w:val="center"/>
              <w:rPr>
                <w:rFonts w:hint="eastAsia" w:ascii="方正黑体简体" w:hAnsi="方正黑体简体" w:eastAsia="方正黑体简体" w:cs="方正黑体简体"/>
                <w:color w:val="auto"/>
                <w:sz w:val="20"/>
                <w:szCs w:val="20"/>
                <w:lang w:eastAsia="zh-CN"/>
              </w:rPr>
            </w:pPr>
            <w:r>
              <w:rPr>
                <w:rFonts w:hint="eastAsia" w:ascii="方正黑体简体" w:hAnsi="方正黑体简体" w:eastAsia="方正黑体简体" w:cs="方正黑体简体"/>
                <w:color w:val="auto"/>
                <w:sz w:val="20"/>
                <w:szCs w:val="20"/>
                <w:lang w:eastAsia="zh-CN"/>
              </w:rPr>
              <w:t>承接部门</w:t>
            </w:r>
          </w:p>
        </w:tc>
        <w:tc>
          <w:tcPr>
            <w:tcW w:w="786" w:type="dxa"/>
            <w:vAlign w:val="center"/>
          </w:tcPr>
          <w:p>
            <w:pPr>
              <w:jc w:val="center"/>
              <w:rPr>
                <w:rFonts w:hint="default" w:ascii="方正黑体简体" w:hAnsi="方正黑体简体" w:eastAsia="方正黑体简体" w:cs="方正黑体简体"/>
                <w:color w:val="auto"/>
                <w:sz w:val="20"/>
                <w:szCs w:val="20"/>
                <w:lang w:val="en-US" w:eastAsia="zh-CN"/>
              </w:rPr>
            </w:pPr>
            <w:r>
              <w:rPr>
                <w:rFonts w:hint="eastAsia" w:ascii="方正黑体简体" w:hAnsi="方正黑体简体" w:eastAsia="方正黑体简体" w:cs="方正黑体简体"/>
                <w:color w:val="auto"/>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5" w:hRule="atLeast"/>
          <w:jc w:val="center"/>
        </w:trPr>
        <w:tc>
          <w:tcPr>
            <w:tcW w:w="720" w:type="dxa"/>
            <w:vAlign w:val="center"/>
          </w:tcPr>
          <w:p>
            <w:pPr>
              <w:pStyle w:val="11"/>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参加社会保险人员领取死亡待遇申报</w:t>
            </w:r>
          </w:p>
        </w:tc>
        <w:tc>
          <w:tcPr>
            <w:tcW w:w="9747" w:type="dxa"/>
            <w:vAlign w:val="center"/>
          </w:tcPr>
          <w:p>
            <w:pPr>
              <w:widowControl/>
              <w:ind w:firstLine="4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【法律】《中华人民共和国社会保险法》（2018年12月中华人民共和国主席令第25号修正）</w:t>
            </w:r>
          </w:p>
          <w:p>
            <w:pPr>
              <w:widowControl/>
              <w:ind w:firstLine="4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第二十一条 新型农村社会养老保险待遇由基础养老金和个人账户养老金组成。参加新型农村社会养老保险的农村居民，符合国家规定条件的，按月领取新型农村社会养老保险待遇。</w:t>
            </w:r>
          </w:p>
          <w:p>
            <w:pPr>
              <w:widowControl/>
              <w:ind w:firstLine="4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w:t>
            </w:r>
            <w:r>
              <w:rPr>
                <w:rFonts w:hint="eastAsia" w:ascii="宋体" w:hAnsi="宋体" w:eastAsia="宋体"/>
                <w:bCs/>
                <w:color w:val="auto"/>
                <w:kern w:val="0"/>
                <w:sz w:val="20"/>
                <w:szCs w:val="20"/>
                <w:lang w:eastAsia="zh-CN"/>
              </w:rPr>
              <w:t>规范性文件</w:t>
            </w:r>
            <w:r>
              <w:rPr>
                <w:rFonts w:hint="eastAsia" w:ascii="宋体" w:hAnsi="宋体" w:eastAsia="宋体"/>
                <w:bCs/>
                <w:color w:val="auto"/>
                <w:kern w:val="0"/>
                <w:sz w:val="20"/>
                <w:szCs w:val="20"/>
              </w:rPr>
              <w:t>】《国务院关于建立统一的城乡居民基本养老保险制度的意见》（国发〔2014〕8号）</w:t>
            </w:r>
          </w:p>
          <w:p>
            <w:pPr>
              <w:widowControl/>
              <w:ind w:firstLine="4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 xml:space="preserve">七、养老保险待遇领取条件   </w:t>
            </w:r>
          </w:p>
          <w:p>
            <w:pPr>
              <w:widowControl/>
              <w:ind w:firstLine="4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第一条 参加城乡居民养老保险的个人，年满60周岁、累计缴费满15年，且未领取国家规定的基本养老保障待遇的，可以按月领取城乡居民养老保险待遇。</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第三条 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【规范性文件】《关于印发城乡居民基本养老保险经办规程的通知》（人社部发〔2014〕23号）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shd w:val="clear" w:color="auto" w:fill="FFFFFF"/>
              </w:rPr>
              <w:t>第三十二条 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tc>
        <w:tc>
          <w:tcPr>
            <w:tcW w:w="1413" w:type="dxa"/>
            <w:vAlign w:val="center"/>
          </w:tcPr>
          <w:p>
            <w:pPr>
              <w:widowControl/>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default"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3" w:hRule="atLeast"/>
          <w:jc w:val="center"/>
        </w:trPr>
        <w:tc>
          <w:tcPr>
            <w:tcW w:w="720" w:type="dxa"/>
            <w:vAlign w:val="center"/>
          </w:tcPr>
          <w:p>
            <w:pPr>
              <w:pStyle w:val="11"/>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2</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参加养老保险人员定期领取待遇资格申报（仅限城乡居民）</w:t>
            </w:r>
          </w:p>
        </w:tc>
        <w:tc>
          <w:tcPr>
            <w:tcW w:w="9747" w:type="dxa"/>
            <w:vAlign w:val="center"/>
          </w:tcPr>
          <w:p>
            <w:pPr>
              <w:widowControl/>
              <w:ind w:left="399" w:leftChars="19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【法律】《中华人民共和国社会保险法》（2018年12月中华人民共和国主席令第25号修正）</w:t>
            </w:r>
          </w:p>
          <w:p>
            <w:pPr>
              <w:widowControl/>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第二十一条 新型农村社会养老保险待遇由基础养老金和个人账户养老金组成。参加新型农村社会养老保险的农村居民，符合国家规定条件的，按月领取新型农村社会养老保险待遇。</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w:t>
            </w:r>
            <w:r>
              <w:rPr>
                <w:rFonts w:hint="eastAsia" w:ascii="宋体" w:hAnsi="宋体" w:eastAsia="宋体"/>
                <w:bCs/>
                <w:color w:val="auto"/>
                <w:kern w:val="0"/>
                <w:sz w:val="20"/>
                <w:szCs w:val="20"/>
                <w:lang w:eastAsia="zh-CN"/>
              </w:rPr>
              <w:t>规范性文件</w:t>
            </w:r>
            <w:r>
              <w:rPr>
                <w:rFonts w:hint="eastAsia" w:ascii="宋体" w:hAnsi="宋体" w:eastAsia="宋体"/>
                <w:bCs/>
                <w:color w:val="auto"/>
                <w:kern w:val="0"/>
                <w:sz w:val="20"/>
                <w:szCs w:val="20"/>
              </w:rPr>
              <w:t>】《国务院关于建立统一的城乡居民基本养老保险制度的意见》（国发〔2014〕8号）</w:t>
            </w:r>
          </w:p>
          <w:p>
            <w:pPr>
              <w:widowControl/>
              <w:ind w:firstLine="400" w:firstLineChars="200"/>
              <w:textAlignment w:val="center"/>
              <w:rPr>
                <w:rFonts w:hint="eastAsia" w:ascii="宋体" w:hAnsi="宋体" w:eastAsia="宋体"/>
                <w:bCs/>
                <w:color w:val="auto"/>
                <w:sz w:val="20"/>
                <w:szCs w:val="20"/>
                <w:shd w:val="clear" w:color="auto" w:fill="FFFFFF"/>
              </w:rPr>
            </w:pPr>
            <w:r>
              <w:rPr>
                <w:rFonts w:hint="eastAsia" w:ascii="宋体" w:hAnsi="宋体" w:eastAsia="宋体"/>
                <w:bCs/>
                <w:color w:val="auto"/>
                <w:kern w:val="0"/>
                <w:sz w:val="20"/>
                <w:szCs w:val="20"/>
              </w:rPr>
              <w:t>七、养老保险待遇领取条件：第一条参加城乡居民养老保险的个人，年满60周岁、累计缴费满15年，且未领取国家规定的基本养老保障待遇的，可以按月领取城乡居民养老保险待遇。</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【部门规章】《实施〈中华人民共和国社会保险法〉若干规定》（中华人民共和国人力资源和社会保障部令第13号）</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【规范性文件】《关于印发城乡居民基本养老保险经办规程的通知》（人社部发〔2014〕23号）</w:t>
            </w:r>
          </w:p>
          <w:p>
            <w:pPr>
              <w:widowControl/>
              <w:ind w:firstLine="400" w:firstLineChars="200"/>
              <w:textAlignment w:val="center"/>
              <w:rPr>
                <w:rFonts w:hint="eastAsia" w:ascii="宋体" w:hAnsi="宋体" w:eastAsia="宋体"/>
                <w:bCs/>
                <w:color w:val="auto"/>
                <w:sz w:val="20"/>
                <w:szCs w:val="20"/>
                <w:shd w:val="clear" w:color="auto" w:fill="FFFFFF"/>
              </w:rPr>
            </w:pPr>
            <w:r>
              <w:rPr>
                <w:rFonts w:hint="eastAsia" w:ascii="宋体" w:hAnsi="宋体" w:eastAsia="宋体"/>
                <w:bCs/>
                <w:color w:val="auto"/>
                <w:sz w:val="20"/>
                <w:szCs w:val="20"/>
                <w:shd w:val="clear" w:color="auto" w:fill="FFFFFF"/>
              </w:rPr>
              <w:t>第二十四条 参保人员从符合待遇领取条件的次月起开始享受城乡居民养老保险待遇。</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shd w:val="clear" w:color="auto" w:fill="FFFFFF"/>
              </w:rPr>
              <w:t>第二十六条 参保人员应携带户口簿、居民身份证原件和复印件等材料，到户口所在地村(居)委会办理待遇领取手续，在《通知表》上签字、签章或留指纹确认。村(居)协办员负责检查参保人员提供的材料是否齐全，并于每月规定时限内将相关材料一并上报乡镇(街道)事务所。参保人员也可直接到乡镇(街道)事务所或县社保机构办理待遇领取手续。</w:t>
            </w:r>
          </w:p>
        </w:tc>
        <w:tc>
          <w:tcPr>
            <w:tcW w:w="1413" w:type="dxa"/>
            <w:vAlign w:val="center"/>
          </w:tcPr>
          <w:p>
            <w:pPr>
              <w:widowControl/>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jc w:val="center"/>
        </w:trPr>
        <w:tc>
          <w:tcPr>
            <w:tcW w:w="720" w:type="dxa"/>
            <w:vAlign w:val="center"/>
          </w:tcPr>
          <w:p>
            <w:pPr>
              <w:pStyle w:val="11"/>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3</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城镇职工基本养老保险与城乡居民基本养老保险制度衔接申请（仅限城乡居民以及灵活就业人员）</w:t>
            </w:r>
          </w:p>
        </w:tc>
        <w:tc>
          <w:tcPr>
            <w:tcW w:w="9747" w:type="dxa"/>
            <w:vAlign w:val="center"/>
          </w:tcPr>
          <w:p>
            <w:pPr>
              <w:widowControl/>
              <w:spacing w:line="300" w:lineRule="exact"/>
              <w:ind w:left="399" w:leftChars="190"/>
              <w:textAlignment w:val="center"/>
              <w:rPr>
                <w:rFonts w:hint="eastAsia" w:ascii="宋体" w:hAnsi="宋体" w:eastAsia="宋体"/>
                <w:bCs/>
                <w:color w:val="auto"/>
                <w:sz w:val="20"/>
                <w:szCs w:val="20"/>
                <w:shd w:val="clear" w:color="auto" w:fill="FFFFFF"/>
              </w:rPr>
            </w:pPr>
            <w:r>
              <w:rPr>
                <w:rFonts w:hint="eastAsia" w:ascii="宋体" w:hAnsi="宋体" w:eastAsia="宋体"/>
                <w:bCs/>
                <w:color w:val="auto"/>
                <w:sz w:val="20"/>
                <w:szCs w:val="20"/>
                <w:shd w:val="clear" w:color="auto" w:fill="FFFFFF"/>
              </w:rPr>
              <w:t>【法律】《中华人民共和国社会保险法》（2018年12月中华人民共和国主席令第25号修正）</w:t>
            </w:r>
          </w:p>
          <w:p>
            <w:pPr>
              <w:widowControl/>
              <w:spacing w:line="30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widowControl/>
              <w:spacing w:line="300" w:lineRule="exact"/>
              <w:ind w:firstLine="400" w:firstLineChars="200"/>
              <w:textAlignment w:val="center"/>
              <w:rPr>
                <w:rFonts w:hint="eastAsia" w:ascii="宋体" w:hAnsi="宋体" w:eastAsia="宋体"/>
                <w:bCs/>
                <w:color w:val="auto"/>
                <w:sz w:val="20"/>
                <w:szCs w:val="20"/>
                <w:shd w:val="clear" w:color="auto" w:fill="FFFFFF"/>
              </w:rPr>
            </w:pPr>
            <w:r>
              <w:rPr>
                <w:rFonts w:hint="eastAsia" w:ascii="宋体" w:hAnsi="宋体" w:eastAsia="宋体"/>
                <w:bCs/>
                <w:color w:val="auto"/>
                <w:sz w:val="20"/>
                <w:szCs w:val="20"/>
                <w:shd w:val="clear" w:color="auto" w:fill="FFFFFF"/>
              </w:rPr>
              <w:t>第十六条第二款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widowControl/>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sz w:val="20"/>
                <w:szCs w:val="20"/>
                <w:shd w:val="clear" w:color="auto" w:fill="FFFFFF"/>
              </w:rPr>
              <w:t>【</w:t>
            </w:r>
            <w:r>
              <w:rPr>
                <w:rFonts w:hint="eastAsia" w:ascii="宋体" w:hAnsi="宋体" w:eastAsia="宋体"/>
                <w:bCs/>
                <w:color w:val="auto"/>
                <w:sz w:val="20"/>
                <w:szCs w:val="20"/>
                <w:shd w:val="clear" w:color="auto" w:fill="FFFFFF"/>
                <w:lang w:eastAsia="zh-CN"/>
              </w:rPr>
              <w:t>规范性文件</w:t>
            </w:r>
            <w:r>
              <w:rPr>
                <w:rFonts w:hint="eastAsia" w:ascii="宋体" w:hAnsi="宋体" w:eastAsia="宋体"/>
                <w:bCs/>
                <w:color w:val="auto"/>
                <w:sz w:val="20"/>
                <w:szCs w:val="20"/>
                <w:shd w:val="clear" w:color="auto" w:fill="FFFFFF"/>
              </w:rPr>
              <w:t>】《城镇企业职工基本养老保险关系转移接续暂行办法》（国办发〔2009〕</w:t>
            </w:r>
            <w:r>
              <w:rPr>
                <w:rFonts w:hint="eastAsia" w:ascii="宋体" w:hAnsi="宋体" w:eastAsia="宋体"/>
                <w:bCs/>
                <w:color w:val="auto"/>
                <w:kern w:val="0"/>
                <w:sz w:val="20"/>
                <w:szCs w:val="20"/>
              </w:rPr>
              <w:t>66号）</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第九条第一款 农民工中断就业或返乡没有继续缴费的，由原参保地社保经办机构保留其基本养老保险关系，保存其全部参保缴费记录及个人账户，个人账户储存额继续按规定计息。农民工返回城镇就业并继续参保缴费的，无论其回到原参保地就业还是到其他城镇就业，均按前述规定累计计算其缴费年限，合并计算其个人账户储存额，符合待遇领取条件的，与城镇职工同样享受基本养老保险待遇；农民工不再返回城镇就业的，其在城镇参保缴费记录及个人账户全部有效，并根据农民工的实际情况，或在其达到规定领取条件时享受城镇职工基本养老保险待遇，或转入新型农村社会养老保险。</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w:t>
            </w:r>
            <w:r>
              <w:rPr>
                <w:rFonts w:hint="eastAsia" w:ascii="宋体" w:hAnsi="宋体" w:eastAsia="宋体"/>
                <w:bCs/>
                <w:color w:val="auto"/>
                <w:kern w:val="0"/>
                <w:sz w:val="20"/>
                <w:szCs w:val="20"/>
                <w:lang w:eastAsia="zh-CN"/>
              </w:rPr>
              <w:t>部门规章</w:t>
            </w:r>
            <w:r>
              <w:rPr>
                <w:rFonts w:hint="eastAsia" w:ascii="宋体" w:hAnsi="宋体" w:eastAsia="宋体"/>
                <w:bCs/>
                <w:color w:val="auto"/>
                <w:kern w:val="0"/>
                <w:sz w:val="20"/>
                <w:szCs w:val="20"/>
              </w:rPr>
              <w:t>】《实施〈中华人民共和国社会保险法〉若干规定》（人力资源和社会保障令第13号）</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【规范性文件】《关于印发〈城乡养老保险制度衔接暂行办法〉的通知》（人社部发〔2014〕17号）</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 xml:space="preserve">第三条 </w:t>
            </w:r>
            <w:r>
              <w:rPr>
                <w:rFonts w:hint="eastAsia" w:ascii="宋体" w:hAnsi="宋体" w:eastAsia="宋体"/>
                <w:bCs/>
                <w:color w:val="auto"/>
                <w:spacing w:val="-6"/>
                <w:kern w:val="0"/>
                <w:sz w:val="20"/>
                <w:szCs w:val="20"/>
              </w:rPr>
              <w:t>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w:t>
            </w:r>
            <w:r>
              <w:rPr>
                <w:rFonts w:hint="eastAsia" w:ascii="宋体" w:hAnsi="宋体" w:eastAsia="宋体"/>
                <w:bCs/>
                <w:color w:val="auto"/>
                <w:spacing w:val="-11"/>
                <w:kern w:val="0"/>
                <w:sz w:val="20"/>
                <w:szCs w:val="20"/>
              </w:rPr>
              <w:t>《关于贯彻实施〈城乡养老保险制度衔接暂行办法〉有关问题的通知》（人社厅发〔2014〕25号</w:t>
            </w:r>
            <w:r>
              <w:rPr>
                <w:rFonts w:hint="eastAsia" w:ascii="宋体" w:hAnsi="宋体" w:eastAsia="宋体"/>
                <w:bCs/>
                <w:color w:val="auto"/>
                <w:kern w:val="0"/>
                <w:sz w:val="20"/>
                <w:szCs w:val="20"/>
              </w:rPr>
              <w:t>）</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《城乡养老保险制度衔接经办规程(试行)》第四条 参保人员达到城镇职工养老保险法定退休年龄，如有分别参加城镇职工养老保险、城乡居民养老保险情形，在申请领取养老保险待遇前，向待遇领取地社保机构申请办理城乡养老保险制度衔接手续……”</w:t>
            </w:r>
          </w:p>
        </w:tc>
        <w:tc>
          <w:tcPr>
            <w:tcW w:w="1413" w:type="dxa"/>
            <w:vAlign w:val="center"/>
          </w:tcPr>
          <w:p>
            <w:pPr>
              <w:widowControl/>
              <w:spacing w:line="30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jc w:val="center"/>
        </w:trPr>
        <w:tc>
          <w:tcPr>
            <w:tcW w:w="720" w:type="dxa"/>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eastAsia" w:ascii="宋体" w:hAnsi="宋体" w:eastAsia="宋体"/>
                <w:color w:val="auto"/>
                <w:sz w:val="20"/>
                <w:szCs w:val="20"/>
              </w:rPr>
            </w:pPr>
            <w:r>
              <w:rPr>
                <w:rFonts w:hint="eastAsia" w:ascii="宋体" w:hAnsi="宋体" w:eastAsia="宋体"/>
                <w:color w:val="auto"/>
                <w:sz w:val="20"/>
                <w:szCs w:val="20"/>
              </w:rPr>
              <w:t>4</w:t>
            </w:r>
          </w:p>
        </w:tc>
        <w:tc>
          <w:tcPr>
            <w:tcW w:w="1507"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bCs/>
                <w:color w:val="auto"/>
                <w:sz w:val="20"/>
                <w:szCs w:val="20"/>
              </w:rPr>
            </w:pPr>
            <w:r>
              <w:rPr>
                <w:rFonts w:hint="eastAsia" w:ascii="宋体" w:hAnsi="宋体" w:eastAsia="宋体"/>
                <w:bCs/>
                <w:color w:val="auto"/>
                <w:kern w:val="0"/>
                <w:sz w:val="20"/>
                <w:szCs w:val="20"/>
              </w:rPr>
              <w:t>城乡居民特殊人员申报</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80" w:lineRule="exact"/>
              <w:ind w:left="599" w:leftChars="190" w:hanging="200" w:hangingChars="1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【法律】《中华人民共和国社会保险法》（2018年12月中华人民共和国主席令第25号修正）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280" w:lineRule="exact"/>
              <w:ind w:left="399" w:leftChars="19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 xml:space="preserve">第八条 </w:t>
            </w:r>
            <w:r>
              <w:rPr>
                <w:rFonts w:hint="eastAsia" w:ascii="宋体" w:hAnsi="宋体" w:eastAsia="宋体"/>
                <w:bCs/>
                <w:color w:val="auto"/>
                <w:spacing w:val="-6"/>
                <w:kern w:val="0"/>
                <w:sz w:val="20"/>
                <w:szCs w:val="20"/>
              </w:rPr>
              <w:t>社会保险经办机构提供社会保险服务，负责社会保险登记、个人权益记录、社会保险待遇支付工作</w:t>
            </w:r>
            <w:r>
              <w:rPr>
                <w:rFonts w:hint="eastAsia" w:ascii="宋体" w:hAnsi="宋体" w:eastAsia="宋体"/>
                <w:bCs/>
                <w:color w:val="auto"/>
                <w:kern w:val="0"/>
                <w:sz w:val="20"/>
                <w:szCs w:val="20"/>
              </w:rPr>
              <w:t>。</w:t>
            </w:r>
          </w:p>
          <w:p>
            <w:pPr>
              <w:keepNext w:val="0"/>
              <w:keepLines w:val="0"/>
              <w:pageBreakBefore w:val="0"/>
              <w:widowControl/>
              <w:kinsoku/>
              <w:wordWrap/>
              <w:overflowPunct/>
              <w:topLinePunct w:val="0"/>
              <w:autoSpaceDE/>
              <w:autoSpaceDN/>
              <w:bidi w:val="0"/>
              <w:adjustRightInd/>
              <w:snapToGrid/>
              <w:spacing w:line="280" w:lineRule="exact"/>
              <w:ind w:left="399" w:leftChars="19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【法律】《中华人民共和国劳动法》（2018年12月中华人民共和国主席令第24号第二次修正）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第七十条 国家发展社会保险事业，建立社会保险制度，设立社会保险基金，使劳动者在年老、患病、工伤、失业、生育等情况下获得帮助和补偿。</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第七十三条 劳动者在下列情况下，依法享受社会保险待遇:(一)退休；（二）患病、负伤；(三)因工伤残或者患职业病；（四）失业；（五）生育。</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劳动者死亡后，其遗属依法享受遗属津贴。</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劳动者享受社会保险待遇的条件和标准由法律、法规规定。</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劳动者享受的社会保险金必须按时足额支付。</w:t>
            </w:r>
          </w:p>
        </w:tc>
        <w:tc>
          <w:tcPr>
            <w:tcW w:w="141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720" w:type="dxa"/>
            <w:vAlign w:val="center"/>
          </w:tcPr>
          <w:p>
            <w:pPr>
              <w:pStyle w:val="11"/>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5</w:t>
            </w:r>
          </w:p>
        </w:tc>
        <w:tc>
          <w:tcPr>
            <w:tcW w:w="1507"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宋体" w:hAnsi="宋体" w:eastAsia="宋体"/>
                <w:bCs/>
                <w:color w:val="auto"/>
                <w:sz w:val="20"/>
                <w:szCs w:val="20"/>
              </w:rPr>
            </w:pPr>
            <w:r>
              <w:rPr>
                <w:rFonts w:hint="eastAsia" w:ascii="宋体" w:hAnsi="宋体" w:eastAsia="宋体"/>
                <w:bCs/>
                <w:color w:val="auto"/>
                <w:kern w:val="0"/>
                <w:sz w:val="20"/>
                <w:szCs w:val="20"/>
              </w:rPr>
              <w:t>居民养老保险注销登记</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60" w:lineRule="exact"/>
              <w:ind w:firstLine="392" w:firstLineChars="196"/>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w:t>
            </w:r>
            <w:r>
              <w:rPr>
                <w:rFonts w:hint="eastAsia" w:ascii="宋体" w:hAnsi="宋体" w:eastAsia="宋体"/>
                <w:bCs/>
                <w:color w:val="auto"/>
                <w:kern w:val="0"/>
                <w:sz w:val="20"/>
                <w:szCs w:val="20"/>
                <w:lang w:eastAsia="zh-CN"/>
              </w:rPr>
              <w:t>规范性文件</w:t>
            </w:r>
            <w:r>
              <w:rPr>
                <w:rFonts w:hint="eastAsia" w:ascii="宋体" w:hAnsi="宋体" w:eastAsia="宋体"/>
                <w:bCs/>
                <w:color w:val="auto"/>
                <w:kern w:val="0"/>
                <w:sz w:val="20"/>
                <w:szCs w:val="20"/>
              </w:rPr>
              <w:t>】《国务院关于建立统一的城乡居民基本养老保险制度的意见》（国发〔2014〕8号）</w:t>
            </w:r>
          </w:p>
          <w:p>
            <w:pPr>
              <w:keepNext w:val="0"/>
              <w:keepLines w:val="0"/>
              <w:pageBreakBefore w:val="0"/>
              <w:widowControl/>
              <w:kinsoku/>
              <w:wordWrap/>
              <w:overflowPunct/>
              <w:topLinePunct w:val="0"/>
              <w:autoSpaceDE/>
              <w:autoSpaceDN/>
              <w:bidi w:val="0"/>
              <w:adjustRightInd/>
              <w:snapToGrid/>
              <w:spacing w:line="260" w:lineRule="exact"/>
              <w:ind w:firstLine="394" w:firstLineChars="197"/>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七、养老保险待遇领取条件：城乡居民养老保险待遇领取人员死亡的，从次月起停止支付其养老金。</w:t>
            </w:r>
          </w:p>
          <w:p>
            <w:pPr>
              <w:keepNext w:val="0"/>
              <w:keepLines w:val="0"/>
              <w:pageBreakBefore w:val="0"/>
              <w:widowControl/>
              <w:kinsoku/>
              <w:wordWrap/>
              <w:overflowPunct/>
              <w:topLinePunct w:val="0"/>
              <w:autoSpaceDE/>
              <w:autoSpaceDN/>
              <w:bidi w:val="0"/>
              <w:adjustRightInd/>
              <w:snapToGrid/>
              <w:spacing w:line="260" w:lineRule="exact"/>
              <w:ind w:firstLine="392" w:firstLineChars="196"/>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260" w:lineRule="exact"/>
              <w:ind w:firstLine="392" w:firstLineChars="196"/>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第三十二条 待遇领取人员自死亡次月起停止发放养老保险待遇。村（居）协办员应于每月初将上月死亡人员名单通过乡镇（街道）事务所上报至县社保机构。县社保机构对死亡人员进行暂停发放处理，待死亡人员指定受益人或法定继承人办理注销登记手续后，对死亡人员进行养老保险关系注销。</w:t>
            </w:r>
          </w:p>
        </w:tc>
        <w:tc>
          <w:tcPr>
            <w:tcW w:w="1413" w:type="dxa"/>
            <w:vAlign w:val="center"/>
          </w:tcPr>
          <w:p>
            <w:pPr>
              <w:widowControl/>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keepNext w:val="0"/>
              <w:keepLines w:val="0"/>
              <w:pageBreakBefore w:val="0"/>
              <w:widowControl/>
              <w:kinsoku/>
              <w:wordWrap/>
              <w:overflowPunct/>
              <w:topLinePunct w:val="0"/>
              <w:autoSpaceDE/>
              <w:autoSpaceDN/>
              <w:bidi w:val="0"/>
              <w:adjustRightInd/>
              <w:snapToGrid/>
              <w:spacing w:line="250" w:lineRule="exact"/>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keepNext w:val="0"/>
              <w:keepLines w:val="0"/>
              <w:pageBreakBefore w:val="0"/>
              <w:widowControl/>
              <w:kinsoku/>
              <w:wordWrap/>
              <w:overflowPunct/>
              <w:topLinePunct w:val="0"/>
              <w:autoSpaceDE/>
              <w:autoSpaceDN/>
              <w:bidi w:val="0"/>
              <w:adjustRightInd/>
              <w:snapToGrid/>
              <w:spacing w:line="250" w:lineRule="exact"/>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5" w:hRule="atLeast"/>
          <w:jc w:val="center"/>
        </w:trPr>
        <w:tc>
          <w:tcPr>
            <w:tcW w:w="720" w:type="dxa"/>
            <w:vAlign w:val="center"/>
          </w:tcPr>
          <w:p>
            <w:pPr>
              <w:pStyle w:val="11"/>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6</w:t>
            </w:r>
          </w:p>
        </w:tc>
        <w:tc>
          <w:tcPr>
            <w:tcW w:w="1507"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宋体" w:hAnsi="宋体" w:eastAsia="宋体"/>
                <w:bCs/>
                <w:color w:val="auto"/>
                <w:sz w:val="20"/>
                <w:szCs w:val="20"/>
              </w:rPr>
            </w:pPr>
            <w:r>
              <w:rPr>
                <w:rFonts w:hint="eastAsia" w:ascii="宋体" w:hAnsi="宋体" w:eastAsia="宋体"/>
                <w:bCs/>
                <w:color w:val="auto"/>
                <w:kern w:val="0"/>
                <w:sz w:val="20"/>
                <w:szCs w:val="20"/>
              </w:rPr>
              <w:t>暂停养老保险待遇申请</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60" w:lineRule="exact"/>
              <w:ind w:firstLine="392" w:firstLineChars="196"/>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【行政法规】《国务院关于安置老弱病残干部的暂行办法》（国发〔1978〕104号）</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第五条第一款 干部退休以后，每月按下列标准发给退休费，直至去世为止。</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sz w:val="20"/>
                <w:szCs w:val="20"/>
                <w:shd w:val="clear" w:color="auto" w:fill="FFFFFF"/>
              </w:rPr>
            </w:pPr>
            <w:r>
              <w:rPr>
                <w:rFonts w:hint="eastAsia" w:ascii="宋体" w:hAnsi="宋体" w:eastAsia="宋体"/>
                <w:bCs/>
                <w:color w:val="auto"/>
                <w:kern w:val="0"/>
                <w:sz w:val="20"/>
                <w:szCs w:val="20"/>
              </w:rPr>
              <w:t>【</w:t>
            </w:r>
            <w:r>
              <w:rPr>
                <w:rFonts w:hint="eastAsia" w:ascii="宋体" w:hAnsi="宋体" w:eastAsia="宋体"/>
                <w:bCs/>
                <w:color w:val="auto"/>
                <w:kern w:val="0"/>
                <w:sz w:val="20"/>
                <w:szCs w:val="20"/>
                <w:lang w:eastAsia="zh-CN"/>
              </w:rPr>
              <w:t>行政法规</w:t>
            </w:r>
            <w:r>
              <w:rPr>
                <w:rFonts w:hint="eastAsia" w:ascii="宋体" w:hAnsi="宋体" w:eastAsia="宋体"/>
                <w:bCs/>
                <w:color w:val="auto"/>
                <w:kern w:val="0"/>
                <w:sz w:val="20"/>
                <w:szCs w:val="20"/>
              </w:rPr>
              <w:t>】《国务院关于工人退休、退职的暂行办法》</w:t>
            </w:r>
            <w:r>
              <w:rPr>
                <w:rFonts w:hint="eastAsia" w:ascii="宋体" w:hAnsi="宋体" w:eastAsia="宋体"/>
                <w:bCs/>
                <w:color w:val="auto"/>
                <w:sz w:val="20"/>
                <w:szCs w:val="20"/>
                <w:shd w:val="clear" w:color="auto" w:fill="FFFFFF"/>
              </w:rPr>
              <w:t>（国发[1978]104号）</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第二条第一款 工人退休以后，每月按下列标准发给退休费，直至去世为止。</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《关于退休人员被判刑后有关养老保险待遇问题的复函》（劳社厅函〔2001〕44号）全文。</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《关于对劳社厅函〔2001〕44号补充说明的函》（劳社厅函〔2003〕315号）全文。</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《关于因失踪被人民法院宣告死亡的离退休人员养老待遇问题的函》(人社厅函〔2010〕159号)全文。</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sz w:val="20"/>
                <w:szCs w:val="20"/>
                <w:shd w:val="clear" w:color="auto" w:fill="FFFFFF"/>
              </w:rPr>
            </w:pPr>
            <w:r>
              <w:rPr>
                <w:rFonts w:hint="eastAsia" w:ascii="宋体" w:hAnsi="宋体" w:eastAsia="宋体"/>
                <w:bCs/>
                <w:color w:val="auto"/>
                <w:kern w:val="0"/>
                <w:sz w:val="20"/>
                <w:szCs w:val="20"/>
              </w:rPr>
              <w:t xml:space="preserve">第三十一条 </w:t>
            </w:r>
            <w:r>
              <w:rPr>
                <w:rFonts w:hint="eastAsia" w:ascii="宋体" w:hAnsi="宋体" w:eastAsia="宋体"/>
                <w:bCs/>
                <w:color w:val="auto"/>
                <w:spacing w:val="-6"/>
                <w:sz w:val="20"/>
                <w:szCs w:val="20"/>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宋体" w:hAnsi="宋体" w:eastAsia="宋体"/>
                <w:bCs/>
                <w:color w:val="auto"/>
                <w:sz w:val="20"/>
                <w:szCs w:val="20"/>
                <w:shd w:val="clear" w:color="auto" w:fill="FFFFFF"/>
              </w:rPr>
              <w:t>。</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sz w:val="20"/>
                <w:szCs w:val="20"/>
                <w:shd w:val="clear" w:color="auto" w:fill="FFFFFF"/>
              </w:rPr>
            </w:pPr>
            <w:r>
              <w:rPr>
                <w:rFonts w:hint="eastAsia" w:ascii="宋体" w:hAnsi="宋体" w:eastAsia="宋体"/>
                <w:bCs/>
                <w:color w:val="auto"/>
                <w:kern w:val="0"/>
                <w:sz w:val="20"/>
                <w:szCs w:val="20"/>
              </w:rPr>
              <w:t xml:space="preserve">第三十二条第一款 </w:t>
            </w:r>
            <w:r>
              <w:rPr>
                <w:rFonts w:hint="eastAsia" w:ascii="宋体" w:hAnsi="宋体" w:eastAsia="宋体"/>
                <w:bCs/>
                <w:color w:val="auto"/>
                <w:sz w:val="20"/>
                <w:szCs w:val="20"/>
                <w:shd w:val="clear" w:color="auto" w:fill="FFFFFF"/>
              </w:rPr>
              <w:t>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《关于印发〈机关事业单位工作人员基本养老保险经办规程〉的通知》（人社部发〔2015〕32号）</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第四十九条 社保经办机构应通过资格认证工作，不断完善退休人员信息管理，对发生变更的及时予以调整并根据资格认证结果进行如下处理：</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（二）退休人员在规定期限内未认证的，社保经办机构应暂停发放基本养老金。退休人员重新通过资格认证后，从次月恢复发放并补发暂停发放月份的基本养老金。</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sz w:val="20"/>
                <w:szCs w:val="20"/>
              </w:rPr>
            </w:pPr>
            <w:r>
              <w:rPr>
                <w:rFonts w:hint="eastAsia" w:ascii="宋体" w:hAnsi="宋体" w:eastAsia="宋体"/>
                <w:bCs/>
                <w:color w:val="auto"/>
                <w:kern w:val="0"/>
                <w:sz w:val="20"/>
                <w:szCs w:val="20"/>
              </w:rPr>
              <w:t>（三）退休人员失踪、被判刑、死亡等不符合领取资格的，社保经办机构应暂停或终止发放基本养老金，对多发的养老金应予以追回。</w:t>
            </w:r>
          </w:p>
        </w:tc>
        <w:tc>
          <w:tcPr>
            <w:tcW w:w="1413" w:type="dxa"/>
            <w:vAlign w:val="center"/>
          </w:tcPr>
          <w:p>
            <w:pPr>
              <w:widowControl/>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keepNext w:val="0"/>
              <w:keepLines w:val="0"/>
              <w:pageBreakBefore w:val="0"/>
              <w:widowControl/>
              <w:kinsoku/>
              <w:wordWrap/>
              <w:overflowPunct/>
              <w:topLinePunct w:val="0"/>
              <w:autoSpaceDE/>
              <w:autoSpaceDN/>
              <w:bidi w:val="0"/>
              <w:adjustRightInd/>
              <w:snapToGrid/>
              <w:spacing w:line="250" w:lineRule="exact"/>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keepNext w:val="0"/>
              <w:keepLines w:val="0"/>
              <w:pageBreakBefore w:val="0"/>
              <w:widowControl/>
              <w:kinsoku/>
              <w:wordWrap/>
              <w:overflowPunct/>
              <w:topLinePunct w:val="0"/>
              <w:autoSpaceDE/>
              <w:autoSpaceDN/>
              <w:bidi w:val="0"/>
              <w:adjustRightInd/>
              <w:snapToGrid/>
              <w:spacing w:line="250" w:lineRule="exact"/>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pStyle w:val="11"/>
              <w:spacing w:line="29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7</w:t>
            </w:r>
          </w:p>
        </w:tc>
        <w:tc>
          <w:tcPr>
            <w:tcW w:w="1507"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恢复养老保险待遇申请</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【法律】《中华人民共和国社会保险法》（2018年12月中华人民共和国主席令第25号修正）</w:t>
            </w:r>
          </w:p>
          <w:p>
            <w:pPr>
              <w:keepNext w:val="0"/>
              <w:keepLines w:val="0"/>
              <w:pageBreakBefore w:val="0"/>
              <w:widowControl/>
              <w:kinsoku/>
              <w:wordWrap/>
              <w:overflowPunct/>
              <w:topLinePunct w:val="0"/>
              <w:autoSpaceDE/>
              <w:autoSpaceDN/>
              <w:bidi w:val="0"/>
              <w:adjustRightInd/>
              <w:snapToGrid/>
              <w:spacing w:line="24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24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1.《关于退休职工下落不明期间待遇问题的批复》（劳办险字〔1990〕1号）全文。2.《关于退休人员被判刑后有关养老保险待遇问题的复函》（劳社厅函〔2001〕44号）全文。3.《关于对劳社厅函〔2001〕44号补充说明的函》（劳社厅函〔2003〕315号）全文。4.《关于因失踪被人民法院宣告死亡的离退休人员养老待遇问题的函》(人社厅函〔2010〕159号)全文。5.《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sz w:val="20"/>
                <w:szCs w:val="20"/>
                <w:shd w:val="clear" w:color="auto" w:fill="FFFFFF"/>
              </w:rPr>
            </w:pPr>
            <w:r>
              <w:rPr>
                <w:rFonts w:hint="eastAsia" w:ascii="宋体" w:hAnsi="宋体" w:eastAsia="宋体"/>
                <w:bCs/>
                <w:color w:val="auto"/>
                <w:kern w:val="0"/>
                <w:sz w:val="20"/>
                <w:szCs w:val="20"/>
              </w:rPr>
              <w:t xml:space="preserve">第三十一条 </w:t>
            </w:r>
            <w:r>
              <w:rPr>
                <w:rFonts w:hint="eastAsia" w:ascii="宋体" w:hAnsi="宋体" w:eastAsia="宋体"/>
                <w:bCs/>
                <w:color w:val="auto"/>
                <w:spacing w:val="-6"/>
                <w:sz w:val="20"/>
                <w:szCs w:val="20"/>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宋体" w:hAnsi="宋体" w:eastAsia="宋体"/>
                <w:bCs/>
                <w:color w:val="auto"/>
                <w:sz w:val="20"/>
                <w:szCs w:val="20"/>
                <w:shd w:val="clear" w:color="auto" w:fill="FFFFFF"/>
              </w:rPr>
              <w:t>。</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《关于印发〈机关事业单位工作人员基本养老保险经办规程〉的通知》（人社部发〔2015〕32号）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第四十九条 社保经办机构应通过资格认证工作，不断完善退休人员信息管理，对发生变更的及时予以调整并根据资格认证结果进行如下处理：</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（二）退休人员在规定期限内未认证的，社保经办机构应暂停发放基本养老金。退休人员重新通过资格认证后，从次月恢复发放并补发暂停发放月份的基本养老金。</w:t>
            </w:r>
          </w:p>
        </w:tc>
        <w:tc>
          <w:tcPr>
            <w:tcW w:w="1413"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720" w:type="dxa"/>
            <w:vAlign w:val="center"/>
          </w:tcPr>
          <w:p>
            <w:pPr>
              <w:pStyle w:val="11"/>
              <w:spacing w:line="29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8</w:t>
            </w:r>
          </w:p>
        </w:tc>
        <w:tc>
          <w:tcPr>
            <w:tcW w:w="1507"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城乡居民养老保险参保登记</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【法律】《中华人民共和国社会保险法》（2018年12月中华人民共和国主席令第25号修正）</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第二十条 国家建立和完善新型农村社会养老保险制度。新型农村社会养老保险实行个人缴费、集体补助和政府补贴相结合。</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第二十二条 国家建立和完善城镇居民社会养老保险制度。省、自治区、直辖市人民政府根据实际情况，可以将城镇居民社会养老保险和新型农村社会养老保险合并实施。</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【规范性文件】《国务院关于建立统一的城乡居民基本养老保险制度的意见》（国发〔2014〕8号）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三、参保范围：年满16周岁（不含在校学生），非国家机关和事业单位工作人员及不属于职工基本养老保险制度覆盖范围的城乡居民，可以在户籍地参加城乡居民养老保险。</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第六条 符合城乡居民养老保险参保条件的城乡居民，需携带户口簿和居民身份证原件及复印件（重度残疾人等困难群体应同时提供相关证明材料原件和复印件），到户籍所在地村（居）委会提出参保申请。</w:t>
            </w:r>
          </w:p>
        </w:tc>
        <w:tc>
          <w:tcPr>
            <w:tcW w:w="1413"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20" w:type="dxa"/>
            <w:vAlign w:val="center"/>
          </w:tcPr>
          <w:p>
            <w:pPr>
              <w:pStyle w:val="11"/>
              <w:spacing w:line="28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9</w:t>
            </w:r>
          </w:p>
        </w:tc>
        <w:tc>
          <w:tcPr>
            <w:tcW w:w="1507" w:type="dxa"/>
            <w:vAlign w:val="center"/>
          </w:tcPr>
          <w:p>
            <w:pPr>
              <w:widowControl/>
              <w:spacing w:line="28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以个人身份参加社会保险登记（灵活就业）</w:t>
            </w:r>
          </w:p>
        </w:tc>
        <w:tc>
          <w:tcPr>
            <w:tcW w:w="9747" w:type="dxa"/>
            <w:vAlign w:val="center"/>
          </w:tcPr>
          <w:p>
            <w:pPr>
              <w:widowControl/>
              <w:spacing w:line="28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【法律】《中华人民共和国社会保险法》（2018年12月中华人民共和国主席令第25号修正）</w:t>
            </w:r>
          </w:p>
          <w:p>
            <w:pPr>
              <w:widowControl/>
              <w:spacing w:line="28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tc>
        <w:tc>
          <w:tcPr>
            <w:tcW w:w="1413" w:type="dxa"/>
            <w:vAlign w:val="center"/>
          </w:tcPr>
          <w:p>
            <w:pPr>
              <w:widowControl/>
              <w:spacing w:line="28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pStyle w:val="11"/>
              <w:spacing w:line="28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10</w:t>
            </w:r>
          </w:p>
        </w:tc>
        <w:tc>
          <w:tcPr>
            <w:tcW w:w="1507" w:type="dxa"/>
            <w:vAlign w:val="center"/>
          </w:tcPr>
          <w:p>
            <w:pPr>
              <w:widowControl/>
              <w:spacing w:line="28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失业登记</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【法律】《中华人民共和国就业促进法》（2015年4月中华人民共和国主席令第24号修正）</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第三十五条 县级以上人民政府建立健全公共就业服务体系，设立公共就业服务机构，为劳动者免费提供下列服务：（五）办理就业登记、失业登记等事务。</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lang w:eastAsia="zh-CN"/>
              </w:rPr>
            </w:pPr>
            <w:r>
              <w:rPr>
                <w:rFonts w:hint="eastAsia" w:ascii="宋体" w:hAnsi="宋体" w:eastAsia="宋体"/>
                <w:bCs/>
                <w:color w:val="auto"/>
                <w:kern w:val="0"/>
                <w:sz w:val="20"/>
                <w:szCs w:val="20"/>
              </w:rPr>
              <w:t>【部门规章】《就业服务与就业管理规定》</w:t>
            </w:r>
            <w:r>
              <w:rPr>
                <w:rFonts w:hint="eastAsia" w:ascii="宋体" w:hAnsi="宋体" w:eastAsia="宋体"/>
                <w:bCs/>
                <w:color w:val="auto"/>
                <w:kern w:val="0"/>
                <w:sz w:val="20"/>
                <w:szCs w:val="20"/>
                <w:lang w:eastAsia="zh-CN"/>
              </w:rPr>
              <w:t>（</w:t>
            </w:r>
            <w:r>
              <w:rPr>
                <w:rFonts w:hint="eastAsia" w:ascii="宋体" w:hAnsi="宋体" w:eastAsia="宋体"/>
                <w:bCs/>
                <w:color w:val="auto"/>
                <w:kern w:val="0"/>
                <w:sz w:val="20"/>
                <w:szCs w:val="20"/>
                <w:lang w:val="en-US" w:eastAsia="zh-CN"/>
              </w:rPr>
              <w:t>2018年人力资源和社会保障部令第24号修订</w:t>
            </w:r>
            <w:r>
              <w:rPr>
                <w:rFonts w:hint="eastAsia" w:ascii="宋体" w:hAnsi="宋体" w:eastAsia="宋体"/>
                <w:bCs/>
                <w:color w:val="auto"/>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第二十五条 公共就业服务机构应当免费为劳动者提供以下服务：（五）办理就业登记、失业登记等事务。</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w:t>
            </w:r>
          </w:p>
          <w:p>
            <w:pPr>
              <w:keepNext w:val="0"/>
              <w:keepLines w:val="0"/>
              <w:pageBreakBefore w:val="0"/>
              <w:widowControl/>
              <w:kinsoku/>
              <w:wordWrap/>
              <w:overflowPunct/>
              <w:topLinePunct w:val="0"/>
              <w:autoSpaceDE/>
              <w:autoSpaceDN/>
              <w:bidi w:val="0"/>
              <w:adjustRightInd/>
              <w:snapToGrid/>
              <w:spacing w:line="240" w:lineRule="exact"/>
              <w:ind w:left="399" w:leftChars="19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1.《关于进一步加强公共就业服务体系建设的指导意见》（人社部发〔2009〕116号）</w:t>
            </w:r>
          </w:p>
          <w:p>
            <w:pPr>
              <w:keepNext w:val="0"/>
              <w:keepLines w:val="0"/>
              <w:pageBreakBefore w:val="0"/>
              <w:widowControl/>
              <w:kinsoku/>
              <w:wordWrap/>
              <w:overflowPunct/>
              <w:topLinePunct w:val="0"/>
              <w:autoSpaceDE/>
              <w:autoSpaceDN/>
              <w:bidi w:val="0"/>
              <w:adjustRightInd/>
              <w:snapToGrid/>
              <w:spacing w:line="240" w:lineRule="exact"/>
              <w:ind w:left="399" w:leftChars="19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2.《关于印发就业失业登记证管理暂行办法的通知》（人社部发〔2010〕75号）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四、做好信息系统完善和信息上报工作（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3.《关于进一步完善公共就业服务体系有关问题的通知》（人社部发〔2012〕103号）</w:t>
            </w:r>
            <w:r>
              <w:rPr>
                <w:rFonts w:hint="eastAsia" w:ascii="宋体" w:hAnsi="宋体" w:eastAsia="宋体"/>
                <w:bCs/>
                <w:color w:val="auto"/>
                <w:kern w:val="0"/>
                <w:sz w:val="20"/>
                <w:szCs w:val="20"/>
              </w:rPr>
              <w:br w:type="textWrapping"/>
            </w:r>
            <w:r>
              <w:rPr>
                <w:rFonts w:hint="eastAsia" w:ascii="宋体" w:hAnsi="宋体" w:eastAsia="宋体"/>
                <w:bCs/>
                <w:color w:val="auto"/>
                <w:kern w:val="0"/>
                <w:sz w:val="20"/>
                <w:szCs w:val="20"/>
              </w:rPr>
              <w:t>　  四、提升公共就业服务水平（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4.《关于进一步完善就业失业登记管理办法的通知》（人社部发〔2014〕97号）</w:t>
            </w:r>
          </w:p>
          <w:p>
            <w:pPr>
              <w:keepNext w:val="0"/>
              <w:keepLines w:val="0"/>
              <w:pageBreakBefore w:val="0"/>
              <w:widowControl/>
              <w:kinsoku/>
              <w:wordWrap/>
              <w:overflowPunct/>
              <w:topLinePunct w:val="0"/>
              <w:autoSpaceDE/>
              <w:autoSpaceDN/>
              <w:bidi w:val="0"/>
              <w:adjustRightInd/>
              <w:snapToGrid/>
              <w:spacing w:line="25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一、认真落实放宽失业登记条件的有关要求各地要落实《</w:t>
            </w:r>
            <w:r>
              <w:rPr>
                <w:rFonts w:hint="eastAsia" w:ascii="宋体" w:hAnsi="宋体" w:eastAsia="宋体"/>
                <w:bCs/>
                <w:color w:val="auto"/>
                <w:sz w:val="20"/>
                <w:szCs w:val="20"/>
              </w:rPr>
              <w:fldChar w:fldCharType="begin"/>
            </w:r>
            <w:r>
              <w:rPr>
                <w:rFonts w:hint="eastAsia" w:ascii="宋体" w:hAnsi="宋体" w:eastAsia="宋体"/>
                <w:bCs/>
                <w:color w:val="auto"/>
                <w:sz w:val="20"/>
                <w:szCs w:val="20"/>
              </w:rPr>
              <w:instrText xml:space="preserve"> HYPERLINK "http://conac.pkulaw.cn/javascript:SLC(240634,0)" </w:instrText>
            </w:r>
            <w:r>
              <w:rPr>
                <w:rFonts w:hint="eastAsia" w:ascii="宋体" w:hAnsi="宋体" w:eastAsia="宋体"/>
                <w:bCs/>
                <w:color w:val="auto"/>
                <w:sz w:val="20"/>
                <w:szCs w:val="20"/>
              </w:rPr>
              <w:fldChar w:fldCharType="separate"/>
            </w:r>
            <w:r>
              <w:rPr>
                <w:rFonts w:hint="eastAsia" w:ascii="宋体" w:hAnsi="宋体" w:eastAsia="宋体"/>
                <w:bCs/>
                <w:color w:val="auto"/>
                <w:kern w:val="0"/>
                <w:sz w:val="20"/>
                <w:szCs w:val="20"/>
              </w:rPr>
              <w:t>人力资源社会保障部关于修改〈就业服务与就业管理规定〉的决定</w:t>
            </w:r>
            <w:r>
              <w:rPr>
                <w:rFonts w:hint="eastAsia" w:ascii="宋体" w:hAnsi="宋体" w:eastAsia="宋体"/>
                <w:bCs/>
                <w:color w:val="auto"/>
                <w:kern w:val="0"/>
                <w:sz w:val="20"/>
                <w:szCs w:val="20"/>
              </w:rPr>
              <w:fldChar w:fldCharType="end"/>
            </w:r>
            <w:r>
              <w:rPr>
                <w:rFonts w:hint="eastAsia" w:ascii="宋体" w:hAnsi="宋体" w:eastAsia="宋体"/>
                <w:bCs/>
                <w:color w:val="auto"/>
                <w:kern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w:t>
            </w:r>
          </w:p>
          <w:p>
            <w:pPr>
              <w:keepNext w:val="0"/>
              <w:keepLines w:val="0"/>
              <w:pageBreakBefore w:val="0"/>
              <w:widowControl/>
              <w:kinsoku/>
              <w:wordWrap/>
              <w:overflowPunct/>
              <w:topLinePunct w:val="0"/>
              <w:autoSpaceDE/>
              <w:autoSpaceDN/>
              <w:bidi w:val="0"/>
              <w:adjustRightInd/>
              <w:snapToGrid/>
              <w:spacing w:line="250" w:lineRule="exact"/>
              <w:ind w:firstLine="376" w:firstLineChars="200"/>
              <w:textAlignment w:val="center"/>
              <w:rPr>
                <w:rFonts w:hint="eastAsia" w:ascii="宋体" w:hAnsi="宋体" w:eastAsia="宋体"/>
                <w:bCs/>
                <w:color w:val="auto"/>
                <w:kern w:val="0"/>
                <w:sz w:val="20"/>
                <w:szCs w:val="20"/>
              </w:rPr>
            </w:pPr>
            <w:r>
              <w:rPr>
                <w:rFonts w:hint="eastAsia" w:ascii="宋体" w:hAnsi="宋体" w:eastAsia="宋体"/>
                <w:bCs/>
                <w:color w:val="auto"/>
                <w:spacing w:val="-6"/>
                <w:kern w:val="0"/>
                <w:sz w:val="20"/>
                <w:szCs w:val="20"/>
              </w:rPr>
              <w:t>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r>
              <w:rPr>
                <w:rFonts w:hint="eastAsia" w:ascii="宋体" w:hAnsi="宋体" w:eastAsia="宋体"/>
                <w:bCs/>
                <w:color w:val="auto"/>
                <w:kern w:val="0"/>
                <w:sz w:val="20"/>
                <w:szCs w:val="20"/>
              </w:rPr>
              <w:t>。</w:t>
            </w:r>
          </w:p>
        </w:tc>
        <w:tc>
          <w:tcPr>
            <w:tcW w:w="1413" w:type="dxa"/>
            <w:vAlign w:val="center"/>
          </w:tcPr>
          <w:p>
            <w:pPr>
              <w:widowControl/>
              <w:spacing w:line="28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4" w:hRule="atLeast"/>
          <w:jc w:val="center"/>
        </w:trPr>
        <w:tc>
          <w:tcPr>
            <w:tcW w:w="720" w:type="dxa"/>
            <w:vAlign w:val="center"/>
          </w:tcPr>
          <w:p>
            <w:pPr>
              <w:pStyle w:val="11"/>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11</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灵活就业人员就业登记</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【法律】《中华人民共和国就业促进法》（2015</w:t>
            </w:r>
            <w:r>
              <w:rPr>
                <w:rFonts w:hint="eastAsia" w:ascii="宋体" w:hAnsi="宋体" w:eastAsia="宋体"/>
                <w:bCs/>
                <w:color w:val="auto"/>
                <w:kern w:val="0"/>
                <w:sz w:val="20"/>
                <w:szCs w:val="20"/>
                <w:lang w:eastAsia="zh-CN"/>
              </w:rPr>
              <w:t>年</w:t>
            </w:r>
            <w:r>
              <w:rPr>
                <w:rFonts w:hint="eastAsia" w:ascii="宋体" w:hAnsi="宋体" w:eastAsia="宋体"/>
                <w:bCs/>
                <w:color w:val="auto"/>
                <w:kern w:val="0"/>
                <w:sz w:val="20"/>
                <w:szCs w:val="20"/>
              </w:rPr>
              <w:t>中华人民共和国主席令第24号修正）</w:t>
            </w:r>
          </w:p>
          <w:p>
            <w:pPr>
              <w:keepNext w:val="0"/>
              <w:keepLines w:val="0"/>
              <w:pageBreakBefore w:val="0"/>
              <w:widowControl/>
              <w:kinsoku/>
              <w:wordWrap/>
              <w:overflowPunct/>
              <w:topLinePunct w:val="0"/>
              <w:autoSpaceDE/>
              <w:autoSpaceDN/>
              <w:bidi w:val="0"/>
              <w:adjustRightInd/>
              <w:snapToGrid/>
              <w:spacing w:line="24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第三十五条 县级以上人民政府建立健全公共就业服务体系，设立公共就业服务机构，为劳动者免费提供下列服务；（五）办理就业登记、失业登记等事务；（六）其他公共就业服务。</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lang w:eastAsia="zh-CN"/>
              </w:rPr>
            </w:pPr>
            <w:r>
              <w:rPr>
                <w:rFonts w:hint="eastAsia" w:ascii="宋体" w:hAnsi="宋体" w:eastAsia="宋体"/>
                <w:bCs/>
                <w:color w:val="auto"/>
                <w:kern w:val="0"/>
                <w:sz w:val="20"/>
                <w:szCs w:val="20"/>
              </w:rPr>
              <w:t>【部门规章】《就业服务与就业管理规定》</w:t>
            </w:r>
            <w:r>
              <w:rPr>
                <w:rFonts w:hint="eastAsia" w:ascii="宋体" w:hAnsi="宋体" w:eastAsia="宋体"/>
                <w:bCs/>
                <w:color w:val="auto"/>
                <w:kern w:val="0"/>
                <w:sz w:val="20"/>
                <w:szCs w:val="20"/>
                <w:lang w:eastAsia="zh-CN"/>
              </w:rPr>
              <w:t>（</w:t>
            </w:r>
            <w:r>
              <w:rPr>
                <w:rFonts w:hint="eastAsia" w:ascii="宋体" w:hAnsi="宋体" w:eastAsia="宋体"/>
                <w:bCs/>
                <w:color w:val="auto"/>
                <w:kern w:val="0"/>
                <w:sz w:val="20"/>
                <w:szCs w:val="20"/>
                <w:lang w:val="en-US" w:eastAsia="zh-CN"/>
              </w:rPr>
              <w:t>2018年人力资源和社会保障部令第24号修订</w:t>
            </w:r>
            <w:r>
              <w:rPr>
                <w:rFonts w:hint="eastAsia" w:ascii="宋体" w:hAnsi="宋体" w:eastAsia="宋体"/>
                <w:bCs/>
                <w:color w:val="auto"/>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 xml:space="preserve">第二十五条 </w:t>
            </w:r>
            <w:r>
              <w:rPr>
                <w:rFonts w:hint="eastAsia" w:ascii="宋体" w:hAnsi="宋体" w:eastAsia="宋体"/>
                <w:bCs/>
                <w:color w:val="auto"/>
                <w:spacing w:val="6"/>
                <w:kern w:val="0"/>
                <w:sz w:val="20"/>
                <w:szCs w:val="20"/>
              </w:rPr>
              <w:t>公共就业服务机构应当免费为劳动者提供以下服务：（五）办理就业登记、失业登记等事务</w:t>
            </w:r>
            <w:r>
              <w:rPr>
                <w:rFonts w:hint="eastAsia" w:ascii="宋体" w:hAnsi="宋体" w:eastAsia="宋体"/>
                <w:bCs/>
                <w:color w:val="auto"/>
                <w:kern w:val="0"/>
                <w:sz w:val="20"/>
                <w:szCs w:val="20"/>
              </w:rPr>
              <w:t>。</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1.《关于进一步加强公共就业服务体系建设的指导意见》（人社部发〔2009〕116号）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2.《关于印发就业失业登记证管理暂行办法的通知》（人社部发〔2010〕75号）</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ind w:firstLine="424" w:firstLineChars="200"/>
              <w:textAlignment w:val="center"/>
              <w:rPr>
                <w:rFonts w:hint="eastAsia" w:ascii="宋体" w:hAnsi="宋体" w:eastAsia="宋体"/>
                <w:bCs/>
                <w:color w:val="auto"/>
                <w:spacing w:val="6"/>
                <w:kern w:val="0"/>
                <w:sz w:val="20"/>
                <w:szCs w:val="20"/>
              </w:rPr>
            </w:pPr>
            <w:r>
              <w:rPr>
                <w:rFonts w:hint="eastAsia" w:ascii="宋体" w:hAnsi="宋体" w:eastAsia="宋体"/>
                <w:bCs/>
                <w:color w:val="auto"/>
                <w:spacing w:val="6"/>
                <w:kern w:val="0"/>
                <w:sz w:val="20"/>
                <w:szCs w:val="20"/>
              </w:rPr>
              <w:t>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tabs>
                <w:tab w:val="left" w:pos="312"/>
              </w:tabs>
              <w:kinsoku/>
              <w:wordWrap/>
              <w:overflowPunct/>
              <w:topLinePunct w:val="0"/>
              <w:autoSpaceDE/>
              <w:autoSpaceDN/>
              <w:bidi w:val="0"/>
              <w:adjustRightInd/>
              <w:snapToGrid/>
              <w:spacing w:line="240" w:lineRule="exact"/>
              <w:ind w:left="399"/>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3.《关于进一步完善公共就业服务体系有关问题的通知》（人社部发〔2012〕103号）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240" w:lineRule="exact"/>
              <w:ind w:left="399"/>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4.《关于进一步完善就业失业登记管理办法的通知》（人社部发〔2014〕97号）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一、认真落实放宽失业登记条件的有关要求。各地要落实《</w:t>
            </w:r>
            <w:r>
              <w:rPr>
                <w:rFonts w:hint="eastAsia" w:ascii="宋体" w:hAnsi="宋体" w:eastAsia="宋体"/>
                <w:color w:val="auto"/>
                <w:sz w:val="20"/>
                <w:szCs w:val="20"/>
              </w:rPr>
              <w:fldChar w:fldCharType="begin"/>
            </w:r>
            <w:r>
              <w:rPr>
                <w:rFonts w:hint="eastAsia" w:ascii="宋体" w:hAnsi="宋体" w:eastAsia="宋体"/>
                <w:color w:val="auto"/>
                <w:sz w:val="20"/>
                <w:szCs w:val="20"/>
              </w:rPr>
              <w:instrText xml:space="preserve"> HYPERLINK "http://conac.pkulaw.cn/javascript:SLC(240634,0)" </w:instrText>
            </w:r>
            <w:r>
              <w:rPr>
                <w:rFonts w:hint="eastAsia" w:ascii="宋体" w:hAnsi="宋体" w:eastAsia="宋体"/>
                <w:color w:val="auto"/>
                <w:sz w:val="20"/>
                <w:szCs w:val="20"/>
              </w:rPr>
              <w:fldChar w:fldCharType="separate"/>
            </w:r>
            <w:r>
              <w:rPr>
                <w:rFonts w:hint="eastAsia" w:ascii="宋体" w:hAnsi="宋体" w:eastAsia="宋体"/>
                <w:bCs/>
                <w:color w:val="auto"/>
                <w:kern w:val="0"/>
                <w:sz w:val="20"/>
                <w:szCs w:val="20"/>
              </w:rPr>
              <w:t>人力资源社会保障部关于修改〈就业服务与就业管理规定〉的决定</w:t>
            </w:r>
            <w:r>
              <w:rPr>
                <w:rFonts w:hint="eastAsia" w:ascii="宋体" w:hAnsi="宋体" w:eastAsia="宋体"/>
                <w:bCs/>
                <w:color w:val="auto"/>
                <w:kern w:val="0"/>
                <w:sz w:val="20"/>
                <w:szCs w:val="20"/>
              </w:rPr>
              <w:fldChar w:fldCharType="end"/>
            </w:r>
            <w:r>
              <w:rPr>
                <w:rFonts w:hint="eastAsia" w:ascii="宋体" w:hAnsi="宋体" w:eastAsia="宋体"/>
                <w:bCs/>
                <w:color w:val="auto"/>
                <w:kern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三、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p>
        </w:tc>
        <w:tc>
          <w:tcPr>
            <w:tcW w:w="1413" w:type="dxa"/>
            <w:vAlign w:val="center"/>
          </w:tcPr>
          <w:p>
            <w:pPr>
              <w:widowControl/>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0" w:hRule="atLeast"/>
          <w:jc w:val="center"/>
        </w:trPr>
        <w:tc>
          <w:tcPr>
            <w:tcW w:w="720" w:type="dxa"/>
            <w:vAlign w:val="center"/>
          </w:tcPr>
          <w:p>
            <w:pPr>
              <w:pStyle w:val="11"/>
              <w:spacing w:line="29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12</w:t>
            </w:r>
          </w:p>
        </w:tc>
        <w:tc>
          <w:tcPr>
            <w:tcW w:w="1507"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单位招用人员就业登记</w:t>
            </w:r>
          </w:p>
        </w:tc>
        <w:tc>
          <w:tcPr>
            <w:tcW w:w="9747" w:type="dxa"/>
            <w:vAlign w:val="center"/>
          </w:tcPr>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【法律】《中华人民共和国就业促进法》（2015年4月中华人民共和国主席令第24号修正）</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第三十五条 县级以上人民政府建立健全公共就业服务体系，设立公共就业服务机构，为劳动者免费提供下列服务：</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（五）办理就业登记、失业登记等事务。</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【部门规章】《就业服务与就业管理规定》（2018修订）</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第二十五条 公共就业服务机构应当免费为劳动者提供以下服务：（五）办理就业登记、失业登记等事务。</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1.《关于进一步加强公共就业服务体系建设的指导意见》（人社部发〔2009〕116号）</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六、各级公共就业服务机构应全面执行公共就业服务各项制度，包括免费服务制度、统筹管理制度、就业与失业登记管理制度、就业援助制度和专项服务制度等。</w:t>
            </w:r>
          </w:p>
          <w:p>
            <w:pPr>
              <w:widowControl/>
              <w:spacing w:line="290" w:lineRule="exact"/>
              <w:ind w:left="409" w:leftChars="195"/>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2.《关于印发就业失业登记证管理暂行办法的通知》（人社部发〔2010〕75号）</w:t>
            </w:r>
          </w:p>
          <w:p>
            <w:pPr>
              <w:widowControl/>
              <w:spacing w:line="29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3.《关于进一步完善公共就业服务体系有关问题的通知》（人社部发〔2012〕103号）</w:t>
            </w:r>
          </w:p>
          <w:p>
            <w:pPr>
              <w:widowControl/>
              <w:spacing w:line="29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4.《关于进一步完善就业失业登记管理办法的通知》（人社部发〔2014〕97号）</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1413"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0" w:hRule="atLeast"/>
          <w:jc w:val="center"/>
        </w:trPr>
        <w:tc>
          <w:tcPr>
            <w:tcW w:w="720" w:type="dxa"/>
            <w:vAlign w:val="center"/>
          </w:tcPr>
          <w:p>
            <w:pPr>
              <w:pStyle w:val="11"/>
              <w:spacing w:line="29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13</w:t>
            </w:r>
          </w:p>
        </w:tc>
        <w:tc>
          <w:tcPr>
            <w:tcW w:w="1507"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个体经营人员就业登记</w:t>
            </w:r>
          </w:p>
        </w:tc>
        <w:tc>
          <w:tcPr>
            <w:tcW w:w="9747" w:type="dxa"/>
            <w:vAlign w:val="center"/>
          </w:tcPr>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【法律】《中华人民共和国就业促进法》（2015年4月中华人民共和国主席令第24号修正）</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第三十五条 县级以上人民政府建立健全公共就业服务体系，设立公共就业服务机构，为劳动者免费提供下列服务：（五）办理就业登记、失业登记等事务。</w:t>
            </w:r>
          </w:p>
          <w:p>
            <w:pPr>
              <w:widowControl/>
              <w:spacing w:line="29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【部门规章】《就业服务与就业管理规定》（2018修订）</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第二十五条 公共就业服务机构应当免费为劳动者提供以下服务：（五）办理就业登记、失业登记等事务。</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w:t>
            </w:r>
          </w:p>
          <w:p>
            <w:pPr>
              <w:widowControl/>
              <w:spacing w:line="290" w:lineRule="exact"/>
              <w:ind w:left="399" w:leftChars="19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1.《关于进一步加强公共就业服务体系建设的指导意见》（人社部发〔2009〕116号）</w:t>
            </w:r>
          </w:p>
          <w:p>
            <w:pPr>
              <w:widowControl/>
              <w:spacing w:line="29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六、各级公共就业服务机构应全面执行公共就业服务各项制度，</w:t>
            </w:r>
            <w:r>
              <w:rPr>
                <w:rFonts w:hint="eastAsia" w:ascii="宋体" w:hAnsi="宋体" w:eastAsia="宋体"/>
                <w:bCs/>
                <w:color w:val="auto"/>
                <w:sz w:val="20"/>
                <w:szCs w:val="20"/>
              </w:rPr>
              <w:t>包括免费服务制度、统筹管理制度、就业与失业登记管理制度、就业援助制度和专项服务制度等。</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2.《关于印发就业失业登记证管理暂行办法的通知》（人社部发〔2010〕75号）</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3.《关于进一步完善公共就业服务体系有关问题的通知》（人社部发〔2012〕103号）</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（七）</w:t>
            </w:r>
            <w:r>
              <w:rPr>
                <w:rFonts w:hint="eastAsia" w:ascii="宋体" w:hAnsi="宋体" w:eastAsia="宋体"/>
                <w:bCs/>
                <w:color w:val="auto"/>
                <w:sz w:val="20"/>
                <w:szCs w:val="20"/>
              </w:rPr>
              <w:t>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spacing w:line="290" w:lineRule="exact"/>
              <w:ind w:left="409" w:leftChars="195"/>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4.《关于进一步完善就业失业登记管理办法的通知》（人社部发〔2014〕97号）</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1413"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720" w:type="dxa"/>
            <w:vAlign w:val="center"/>
          </w:tcPr>
          <w:p>
            <w:pPr>
              <w:pStyle w:val="11"/>
              <w:spacing w:line="29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14</w:t>
            </w:r>
          </w:p>
        </w:tc>
        <w:tc>
          <w:tcPr>
            <w:tcW w:w="1507"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就业困难人员认定</w:t>
            </w:r>
          </w:p>
        </w:tc>
        <w:tc>
          <w:tcPr>
            <w:tcW w:w="9747" w:type="dxa"/>
            <w:vAlign w:val="center"/>
          </w:tcPr>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【法律】《中华人民共和国就业促进法》（2015修正）</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第五十二条 各级人民政府建立健全就业援助制度，采取税费减免、贷款贴息、社会保险补贴、岗位补贴等办法，通过公益性岗位安置等途径，对就业困难人员实行优先扶持和重点帮助。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widowControl/>
              <w:spacing w:line="29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w:t>
            </w:r>
            <w:r>
              <w:rPr>
                <w:rFonts w:hint="eastAsia" w:ascii="宋体" w:hAnsi="宋体" w:eastAsia="宋体"/>
                <w:bCs/>
                <w:color w:val="auto"/>
                <w:kern w:val="0"/>
                <w:sz w:val="20"/>
                <w:szCs w:val="20"/>
                <w:lang w:eastAsia="zh-CN"/>
              </w:rPr>
              <w:t>部门规章</w:t>
            </w:r>
            <w:r>
              <w:rPr>
                <w:rFonts w:hint="eastAsia" w:ascii="宋体" w:hAnsi="宋体" w:eastAsia="宋体"/>
                <w:bCs/>
                <w:color w:val="auto"/>
                <w:kern w:val="0"/>
                <w:sz w:val="20"/>
                <w:szCs w:val="20"/>
              </w:rPr>
              <w:t>】《就业服务与就业管理规定》</w:t>
            </w:r>
            <w:r>
              <w:rPr>
                <w:rStyle w:val="9"/>
                <w:rFonts w:hint="eastAsia" w:ascii="宋体" w:hAnsi="宋体" w:eastAsia="宋体" w:cs="Times New Roman"/>
                <w:b w:val="0"/>
                <w:bCs/>
                <w:color w:val="auto"/>
                <w:sz w:val="20"/>
                <w:szCs w:val="20"/>
              </w:rPr>
              <w:t>(2018修订)</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sz w:val="20"/>
                <w:szCs w:val="20"/>
              </w:rPr>
              <w:fldChar w:fldCharType="begin"/>
            </w:r>
            <w:r>
              <w:rPr>
                <w:rFonts w:hint="eastAsia" w:ascii="宋体" w:hAnsi="宋体" w:eastAsia="宋体"/>
                <w:bCs/>
                <w:color w:val="auto"/>
                <w:sz w:val="20"/>
                <w:szCs w:val="20"/>
              </w:rPr>
              <w:instrText xml:space="preserve"> HYPERLINK "http://en.pkulaw.cn/display.aspx?cgid=6dae455d5ec714d8bdfb&amp;lib=law" \t "http://conac.pkulaw.cn/_blank" </w:instrText>
            </w:r>
            <w:r>
              <w:rPr>
                <w:rFonts w:hint="eastAsia" w:ascii="宋体" w:hAnsi="宋体" w:eastAsia="宋体"/>
                <w:bCs/>
                <w:color w:val="auto"/>
                <w:sz w:val="20"/>
                <w:szCs w:val="20"/>
              </w:rPr>
              <w:fldChar w:fldCharType="separate"/>
            </w:r>
            <w:r>
              <w:rPr>
                <w:rFonts w:hint="eastAsia" w:ascii="宋体" w:hAnsi="宋体" w:eastAsia="宋体"/>
                <w:bCs/>
                <w:color w:val="auto"/>
                <w:sz w:val="20"/>
                <w:szCs w:val="20"/>
              </w:rPr>
              <w:fldChar w:fldCharType="end"/>
            </w:r>
            <w:r>
              <w:rPr>
                <w:rFonts w:hint="eastAsia" w:ascii="宋体" w:hAnsi="宋体" w:eastAsia="宋体"/>
                <w:bCs/>
                <w:color w:val="auto"/>
                <w:kern w:val="0"/>
                <w:sz w:val="20"/>
                <w:szCs w:val="20"/>
              </w:rPr>
              <w:t>第四十条 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【规范性文件】《关于加强就业援助工作的指导意见》（人社部发〔2010〕29号）</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tc>
        <w:tc>
          <w:tcPr>
            <w:tcW w:w="1413"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720" w:type="dxa"/>
            <w:vAlign w:val="center"/>
          </w:tcPr>
          <w:p>
            <w:pPr>
              <w:pStyle w:val="11"/>
              <w:spacing w:line="30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15</w:t>
            </w:r>
          </w:p>
        </w:tc>
        <w:tc>
          <w:tcPr>
            <w:tcW w:w="1507" w:type="dxa"/>
            <w:vAlign w:val="center"/>
          </w:tcPr>
          <w:p>
            <w:pPr>
              <w:widowControl/>
              <w:spacing w:line="30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城镇公益性岗位申请</w:t>
            </w:r>
          </w:p>
        </w:tc>
        <w:tc>
          <w:tcPr>
            <w:tcW w:w="9747" w:type="dxa"/>
            <w:vAlign w:val="center"/>
          </w:tcPr>
          <w:p>
            <w:pPr>
              <w:widowControl/>
              <w:spacing w:line="300" w:lineRule="exact"/>
              <w:ind w:firstLine="400" w:firstLineChars="200"/>
              <w:textAlignment w:val="center"/>
              <w:rPr>
                <w:rFonts w:hint="eastAsia" w:ascii="宋体" w:hAnsi="宋体" w:eastAsia="宋体"/>
                <w:bCs/>
                <w:color w:val="auto"/>
                <w:kern w:val="0"/>
                <w:sz w:val="20"/>
                <w:szCs w:val="20"/>
                <w:lang w:val="en-US" w:eastAsia="zh-CN"/>
              </w:rPr>
            </w:pPr>
            <w:r>
              <w:rPr>
                <w:rFonts w:hint="eastAsia" w:ascii="宋体" w:hAnsi="宋体" w:eastAsia="宋体"/>
                <w:bCs/>
                <w:color w:val="auto"/>
                <w:kern w:val="0"/>
                <w:sz w:val="20"/>
                <w:szCs w:val="20"/>
              </w:rPr>
              <w:t>【规范性文件】《宁夏自治区人力资源和社会保障厅 财政厅 扶贫办 关于印发宁夏回族自治区公益性岗位开发管理办法的通知》</w:t>
            </w:r>
            <w:r>
              <w:rPr>
                <w:rFonts w:hint="eastAsia" w:ascii="宋体" w:hAnsi="宋体" w:eastAsia="宋体"/>
                <w:bCs/>
                <w:color w:val="auto"/>
                <w:kern w:val="0"/>
                <w:sz w:val="20"/>
                <w:szCs w:val="20"/>
                <w:lang w:eastAsia="zh-CN"/>
              </w:rPr>
              <w:t>（</w:t>
            </w:r>
            <w:r>
              <w:rPr>
                <w:rFonts w:hint="eastAsia" w:ascii="宋体" w:hAnsi="宋体" w:eastAsia="宋体"/>
                <w:bCs/>
                <w:color w:val="auto"/>
                <w:kern w:val="0"/>
                <w:sz w:val="20"/>
                <w:szCs w:val="20"/>
              </w:rPr>
              <w:t>宁人社规发〔2020〕4号</w:t>
            </w:r>
            <w:r>
              <w:rPr>
                <w:rFonts w:hint="eastAsia" w:ascii="宋体" w:hAnsi="宋体" w:eastAsia="宋体"/>
                <w:bCs/>
                <w:color w:val="auto"/>
                <w:kern w:val="0"/>
                <w:sz w:val="20"/>
                <w:szCs w:val="20"/>
                <w:lang w:val="en-US" w:eastAsia="zh-CN"/>
              </w:rPr>
              <w:t>)</w:t>
            </w:r>
          </w:p>
          <w:p>
            <w:pPr>
              <w:widowControl/>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第六条 城镇公益性岗位主要包括社会公共服务岗位、社区公益性服务岗位。</w:t>
            </w:r>
          </w:p>
          <w:p>
            <w:pPr>
              <w:widowControl/>
              <w:numPr>
                <w:ilvl w:val="0"/>
                <w:numId w:val="2"/>
              </w:numPr>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社会公共服务岗位，具体包括人力资源社会保障协理员、社区治安联防协管员、劳动力统计调查员以及为城镇和社区居民提供服务的交通协管、市政管理、环境管理、物业管理、托管养老等服务的岗位;市政公共设施设备管理养护和景区、景点、公共场所的保洁、城市绿化维护等岗位。</w:t>
            </w:r>
          </w:p>
          <w:p>
            <w:pPr>
              <w:widowControl/>
              <w:numPr>
                <w:ilvl w:val="0"/>
                <w:numId w:val="2"/>
              </w:numPr>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社区公益性岗位，具体包括县（区）、街道（乡镇）、社区开办的非营利性公共卫生服务、医疗服务、养老服务等机构在街道(乡镇)、社区开发的保洁、保养、保安及社会化服务等岗位。</w:t>
            </w:r>
          </w:p>
        </w:tc>
        <w:tc>
          <w:tcPr>
            <w:tcW w:w="1413" w:type="dxa"/>
            <w:vAlign w:val="center"/>
          </w:tcPr>
          <w:p>
            <w:pPr>
              <w:widowControl/>
              <w:spacing w:line="30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5" w:hRule="atLeast"/>
          <w:jc w:val="center"/>
        </w:trPr>
        <w:tc>
          <w:tcPr>
            <w:tcW w:w="720" w:type="dxa"/>
            <w:vAlign w:val="center"/>
          </w:tcPr>
          <w:p>
            <w:pPr>
              <w:pStyle w:val="11"/>
              <w:spacing w:line="300" w:lineRule="exact"/>
              <w:ind w:firstLine="0" w:firstLineChars="0"/>
              <w:jc w:val="center"/>
              <w:rPr>
                <w:rFonts w:hint="eastAsia" w:ascii="宋体" w:hAnsi="宋体" w:eastAsia="宋体"/>
                <w:color w:val="auto"/>
                <w:sz w:val="20"/>
                <w:szCs w:val="20"/>
                <w:lang w:eastAsia="zh-CN"/>
              </w:rPr>
            </w:pPr>
            <w:r>
              <w:rPr>
                <w:rFonts w:hint="eastAsia" w:ascii="宋体" w:hAnsi="宋体" w:eastAsia="宋体"/>
                <w:color w:val="auto"/>
                <w:sz w:val="20"/>
                <w:szCs w:val="20"/>
              </w:rPr>
              <w:t>1</w:t>
            </w:r>
            <w:r>
              <w:rPr>
                <w:rFonts w:hint="eastAsia" w:ascii="宋体" w:hAnsi="宋体"/>
                <w:color w:val="auto"/>
                <w:sz w:val="20"/>
                <w:szCs w:val="20"/>
                <w:lang w:val="en-US" w:eastAsia="zh-CN"/>
              </w:rPr>
              <w:t>6</w:t>
            </w:r>
          </w:p>
        </w:tc>
        <w:tc>
          <w:tcPr>
            <w:tcW w:w="1507" w:type="dxa"/>
            <w:vAlign w:val="center"/>
          </w:tcPr>
          <w:p>
            <w:pPr>
              <w:widowControl/>
              <w:spacing w:line="30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补办《独生子女父母光荣证》（审核）</w:t>
            </w:r>
          </w:p>
        </w:tc>
        <w:tc>
          <w:tcPr>
            <w:tcW w:w="9747" w:type="dxa"/>
            <w:vAlign w:val="center"/>
          </w:tcPr>
          <w:p>
            <w:pPr>
              <w:widowControl/>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【法律】《中华人民共和国人口与计划生育法》（2015年12月</w:t>
            </w:r>
            <w:r>
              <w:rPr>
                <w:rFonts w:hint="eastAsia" w:ascii="宋体" w:hAnsi="宋体" w:eastAsia="宋体"/>
                <w:bCs/>
                <w:color w:val="auto"/>
                <w:kern w:val="0"/>
                <w:sz w:val="20"/>
                <w:szCs w:val="20"/>
                <w:lang w:eastAsia="zh-CN"/>
              </w:rPr>
              <w:t>中华人民共和国</w:t>
            </w:r>
            <w:r>
              <w:rPr>
                <w:rFonts w:hint="eastAsia" w:ascii="宋体" w:hAnsi="宋体" w:eastAsia="宋体"/>
                <w:bCs/>
                <w:color w:val="auto"/>
                <w:sz w:val="20"/>
                <w:szCs w:val="20"/>
              </w:rPr>
              <w:t>主席令第41号</w:t>
            </w:r>
            <w:r>
              <w:rPr>
                <w:rFonts w:hint="eastAsia" w:ascii="宋体" w:hAnsi="宋体" w:eastAsia="宋体"/>
                <w:bCs/>
                <w:color w:val="auto"/>
                <w:kern w:val="0"/>
                <w:sz w:val="20"/>
                <w:szCs w:val="20"/>
              </w:rPr>
              <w:t>修正）</w:t>
            </w:r>
          </w:p>
          <w:p>
            <w:pPr>
              <w:widowControl/>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 xml:space="preserve">第二十七条 </w:t>
            </w:r>
            <w:r>
              <w:rPr>
                <w:rFonts w:hint="eastAsia" w:ascii="宋体" w:hAnsi="宋体" w:eastAsia="宋体"/>
                <w:bCs/>
                <w:color w:val="auto"/>
                <w:spacing w:val="-6"/>
                <w:kern w:val="0"/>
                <w:sz w:val="20"/>
                <w:szCs w:val="20"/>
              </w:rPr>
              <w:t>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p>
          <w:p>
            <w:pPr>
              <w:widowControl/>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【地方性法规】《宁夏回族自治区人口与计划生育条例》（2019年</w:t>
            </w:r>
            <w:r>
              <w:rPr>
                <w:rFonts w:hint="eastAsia" w:ascii="宋体" w:hAnsi="宋体" w:eastAsia="宋体"/>
                <w:bCs/>
                <w:color w:val="auto"/>
                <w:kern w:val="0"/>
                <w:sz w:val="20"/>
                <w:szCs w:val="20"/>
                <w:lang w:eastAsia="zh-CN"/>
              </w:rPr>
              <w:t>宁夏回族</w:t>
            </w:r>
            <w:r>
              <w:rPr>
                <w:rFonts w:hint="eastAsia" w:ascii="宋体" w:hAnsi="宋体" w:eastAsia="宋体"/>
                <w:bCs/>
                <w:color w:val="auto"/>
                <w:sz w:val="20"/>
                <w:szCs w:val="20"/>
              </w:rPr>
              <w:t>自治区人民代表大会常务委员会公告第22号</w:t>
            </w:r>
            <w:r>
              <w:rPr>
                <w:rFonts w:hint="eastAsia" w:ascii="宋体" w:hAnsi="宋体" w:eastAsia="宋体"/>
                <w:bCs/>
                <w:color w:val="auto"/>
                <w:kern w:val="0"/>
                <w:sz w:val="20"/>
                <w:szCs w:val="20"/>
              </w:rPr>
              <w:t>修正）</w:t>
            </w:r>
          </w:p>
          <w:p>
            <w:pPr>
              <w:widowControl/>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第四十四条 在国家提倡一对夫妻生育一个子女期间，领取《独生子女父母光荣证》后再生育的，应当收回并注销其《独生子女父母光荣证》，停止享受独生子女父母奖励优惠待遇。</w:t>
            </w:r>
          </w:p>
          <w:p>
            <w:pPr>
              <w:widowControl/>
              <w:spacing w:line="30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【规范性文件】自治区卫生计生委办公室关于补办《独生子女父母光荣证》有关事项的通知(宁卫计办发〔2017〕210号)</w:t>
            </w:r>
          </w:p>
        </w:tc>
        <w:tc>
          <w:tcPr>
            <w:tcW w:w="1413" w:type="dxa"/>
            <w:vAlign w:val="center"/>
          </w:tcPr>
          <w:p>
            <w:pPr>
              <w:widowControl/>
              <w:spacing w:line="300" w:lineRule="exact"/>
              <w:textAlignment w:val="center"/>
              <w:rPr>
                <w:rFonts w:hint="eastAsia" w:ascii="宋体" w:hAnsi="宋体" w:eastAsia="宋体"/>
                <w:b/>
                <w:color w:val="auto"/>
                <w:sz w:val="20"/>
                <w:szCs w:val="20"/>
                <w:lang w:eastAsia="zh-CN"/>
              </w:rPr>
            </w:pPr>
            <w:r>
              <w:rPr>
                <w:rFonts w:hint="eastAsia" w:ascii="宋体" w:hAnsi="宋体"/>
                <w:b w:val="0"/>
                <w:bCs/>
                <w:color w:val="auto"/>
                <w:sz w:val="20"/>
                <w:szCs w:val="20"/>
                <w:lang w:eastAsia="zh-CN"/>
              </w:rPr>
              <w:t>兴庆区卫健局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17</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精神残疾人救助项目</w:t>
            </w:r>
          </w:p>
        </w:tc>
        <w:tc>
          <w:tcPr>
            <w:tcW w:w="9747" w:type="dxa"/>
            <w:vAlign w:val="center"/>
          </w:tcPr>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【规范性文件】《宁夏贫困精神残疾人救助项目与资金管理暂行办法》（宁残联发〔2014〕22号）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第五条 救助程序。救助对象监护人向户口所在地村（社区）居委会提出救助申请，并出具定点医院风险评估证明、病史、户口簿、身份证等，经村（社区）居委会核实符合条件者，报县（市、区）残联审定后到定点医院治疗。</w:t>
            </w:r>
          </w:p>
        </w:tc>
        <w:tc>
          <w:tcPr>
            <w:tcW w:w="1413" w:type="dxa"/>
            <w:vAlign w:val="center"/>
          </w:tcPr>
          <w:p>
            <w:pPr>
              <w:widowControl/>
              <w:textAlignment w:val="center"/>
              <w:rPr>
                <w:rFonts w:hint="eastAsia" w:ascii="宋体" w:hAnsi="宋体" w:eastAsia="宋体"/>
                <w:bCs/>
                <w:color w:val="auto"/>
                <w:sz w:val="20"/>
                <w:szCs w:val="20"/>
                <w:lang w:eastAsia="zh-CN"/>
              </w:rPr>
            </w:pPr>
            <w:r>
              <w:rPr>
                <w:rFonts w:hint="eastAsia" w:ascii="宋体" w:hAnsi="宋体"/>
                <w:bCs/>
                <w:color w:val="auto"/>
                <w:sz w:val="20"/>
                <w:szCs w:val="20"/>
                <w:lang w:eastAsia="zh-CN"/>
              </w:rPr>
              <w:t>兴庆区残疾人联合会</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 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9" w:hRule="atLeast"/>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18</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0-6岁残疾儿童康复救助</w:t>
            </w:r>
          </w:p>
        </w:tc>
        <w:tc>
          <w:tcPr>
            <w:tcW w:w="9747" w:type="dxa"/>
            <w:vAlign w:val="center"/>
          </w:tcPr>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w:t>
            </w:r>
            <w:r>
              <w:rPr>
                <w:rFonts w:hint="eastAsia" w:ascii="宋体" w:hAnsi="宋体" w:eastAsia="宋体"/>
                <w:color w:val="auto"/>
                <w:kern w:val="0"/>
                <w:sz w:val="20"/>
                <w:szCs w:val="20"/>
              </w:rPr>
              <w:t>规范性文件</w:t>
            </w:r>
            <w:r>
              <w:rPr>
                <w:rFonts w:hint="eastAsia" w:ascii="宋体" w:hAnsi="宋体" w:eastAsia="宋体"/>
                <w:color w:val="auto"/>
                <w:sz w:val="20"/>
                <w:szCs w:val="20"/>
              </w:rPr>
              <w:t>】《国务院关于建立残疾儿童康复救助制度的意见》（国发〔2018〕20号）</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二、制度内容</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一）救助对象。救助对象为符合条件的0—6岁视力、听力、言语、肢体、智力等残疾儿童和孤独症儿童。包括城乡最低生活保障家庭、建档立卡贫困户家庭的残疾儿童和儿童福利机构收留抚养的残疾儿童；残疾孤儿、纳入特困人员供养范围的残疾儿童；其他经济困难家庭的残疾儿童。其他经济困难家庭的具体认定办法，由县级以上地方人民政府制定。</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有条件的地区，可扩大残疾儿童康复救助年龄范围，也可放宽对救助对象家庭经济条件的限制。</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w:t>
            </w:r>
            <w:r>
              <w:rPr>
                <w:rFonts w:hint="eastAsia" w:ascii="宋体" w:hAnsi="宋体" w:eastAsia="宋体"/>
                <w:color w:val="auto"/>
                <w:kern w:val="0"/>
                <w:sz w:val="20"/>
                <w:szCs w:val="20"/>
              </w:rPr>
              <w:t>规范性文件</w:t>
            </w:r>
            <w:r>
              <w:rPr>
                <w:rFonts w:hint="eastAsia" w:ascii="宋体" w:hAnsi="宋体" w:eastAsia="宋体"/>
                <w:color w:val="auto"/>
                <w:sz w:val="20"/>
                <w:szCs w:val="20"/>
              </w:rPr>
              <w:t>】《自治区人民政府关于建立残疾儿童康复救助制度的实施意见》（宁政规发〔2018〕8号）</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二、主要内容</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（一）救助对象。救助对象为户籍（居住证）在宁夏的0-6周岁视力、听力、言语、肢体、智力残疾儿童和孤独症儿童。有条件的市、县（区），可扩大残疾儿童康复救助年龄范围。</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（二）救助内容。包括以减轻功能障碍、改善功能状况、增强生活自理和社会参与能力为主要目的的手术、辅助器具适配和康复训练等。</w:t>
            </w:r>
          </w:p>
          <w:p>
            <w:pPr>
              <w:pStyle w:val="2"/>
              <w:ind w:left="420" w:leftChars="200"/>
              <w:jc w:val="both"/>
              <w:rPr>
                <w:rFonts w:hint="eastAsia" w:ascii="宋体" w:hAnsi="宋体" w:eastAsia="宋体" w:cs="宋体"/>
                <w:color w:val="auto"/>
                <w:sz w:val="20"/>
                <w:szCs w:val="20"/>
              </w:rPr>
            </w:pPr>
            <w:r>
              <w:rPr>
                <w:rFonts w:hint="eastAsia" w:ascii="宋体" w:hAnsi="宋体" w:eastAsia="宋体" w:cs="宋体"/>
                <w:color w:val="auto"/>
                <w:sz w:val="20"/>
                <w:szCs w:val="20"/>
              </w:rPr>
              <w:t>三、组织实施</w:t>
            </w:r>
          </w:p>
          <w:p>
            <w:pPr>
              <w:pStyle w:val="2"/>
              <w:ind w:firstLine="400" w:firstLineChars="200"/>
              <w:jc w:val="both"/>
              <w:rPr>
                <w:rFonts w:hint="eastAsia" w:ascii="宋体" w:hAnsi="宋体" w:eastAsia="宋体" w:cs="宋体"/>
                <w:color w:val="auto"/>
                <w:sz w:val="20"/>
                <w:szCs w:val="20"/>
              </w:rPr>
            </w:pPr>
            <w:r>
              <w:rPr>
                <w:rFonts w:hint="eastAsia" w:ascii="宋体" w:hAnsi="宋体" w:eastAsia="宋体" w:cs="宋体"/>
                <w:color w:val="auto"/>
                <w:sz w:val="20"/>
                <w:szCs w:val="20"/>
              </w:rPr>
              <w:t>（一）加强组织领导。残疾儿童康复救助工作实行地方人民政府负责制。各级人民政府要将残疾儿童康复救助工作列入重要议事日程，作为政府目标管理和绩效考核重要内容，对不作为、慢作为、乱作为的单位和个人加大行政问责力度，对违纪违法的严肃追究责任。</w:t>
            </w:r>
          </w:p>
        </w:tc>
        <w:tc>
          <w:tcPr>
            <w:tcW w:w="1413" w:type="dxa"/>
            <w:vAlign w:val="center"/>
          </w:tcPr>
          <w:p>
            <w:pPr>
              <w:widowControl/>
              <w:textAlignment w:val="center"/>
              <w:rPr>
                <w:rFonts w:hint="eastAsia" w:ascii="宋体" w:hAnsi="宋体" w:eastAsia="宋体"/>
                <w:bCs/>
                <w:color w:val="auto"/>
                <w:sz w:val="20"/>
                <w:szCs w:val="20"/>
              </w:rPr>
            </w:pPr>
            <w:r>
              <w:rPr>
                <w:rFonts w:hint="eastAsia" w:ascii="宋体" w:hAnsi="宋体"/>
                <w:bCs/>
                <w:color w:val="auto"/>
                <w:sz w:val="20"/>
                <w:szCs w:val="20"/>
                <w:lang w:eastAsia="zh-CN"/>
              </w:rPr>
              <w:t>兴庆区残疾人联合会</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0" w:hRule="atLeast"/>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19</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宁夏残疾人自主就业创业扶持延续申请</w:t>
            </w:r>
          </w:p>
        </w:tc>
        <w:tc>
          <w:tcPr>
            <w:tcW w:w="9747" w:type="dxa"/>
            <w:vAlign w:val="center"/>
          </w:tcPr>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【规范性文件】中国残联、国家发展改革委、民政部等15个部门《关于扶持残疾人自主就业创业的意见》（残联发〔2018〕6号）</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一是提供合理便利和优先照顾；二是落实税收优惠和收费减免；三是提供金融扶持和资金补贴；四是支持重点对象和互联网+创业；五是提供支持保障和服务就业。</w:t>
            </w:r>
            <w:r>
              <w:rPr>
                <w:rFonts w:hint="eastAsia" w:ascii="宋体" w:hAnsi="宋体" w:eastAsia="宋体"/>
                <w:bCs/>
                <w:color w:val="auto"/>
                <w:kern w:val="0"/>
                <w:sz w:val="20"/>
                <w:szCs w:val="20"/>
              </w:rPr>
              <w:br w:type="textWrapping"/>
            </w:r>
            <w:r>
              <w:rPr>
                <w:rFonts w:hint="eastAsia" w:ascii="宋体" w:hAnsi="宋体" w:eastAsia="宋体"/>
                <w:bCs/>
                <w:color w:val="auto"/>
                <w:kern w:val="0"/>
                <w:sz w:val="20"/>
                <w:szCs w:val="20"/>
              </w:rPr>
              <w:t xml:space="preserve">    【规范性文件】《自治区残联发展和改革委民政厅等15个部门关于印发&lt;宁夏回族自治区扶持残疾人自主就业创业办法&gt;的通知》（宁残联发〔2019〕7号）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 xml:space="preserve">第二十三条 </w:t>
            </w:r>
            <w:r>
              <w:rPr>
                <w:rFonts w:hint="eastAsia" w:ascii="宋体" w:hAnsi="宋体" w:eastAsia="宋体"/>
                <w:bCs/>
                <w:color w:val="auto"/>
                <w:spacing w:val="-6"/>
                <w:kern w:val="0"/>
                <w:sz w:val="20"/>
                <w:szCs w:val="20"/>
              </w:rPr>
              <w:t>符合条件的残疾人申请自主就业创业扶持，需到就业创业所在地县级残联或残疾人就业服务机构填写《宁夏残疾人自主就业创业扶持申请申批表》（见附件），并出具以下材料：（一）残疾人本人身份证、残疾人证原件及复印件。（二）首次创业的需提供《营业执照》原件及复印件。（三）首次创业的，应有固定的经营（服务）场所或一年以上的场地租赁合同（服务协议）。（四）灵活就业的需提供就业所在地村（社区）的证明。</w:t>
            </w:r>
          </w:p>
        </w:tc>
        <w:tc>
          <w:tcPr>
            <w:tcW w:w="1413" w:type="dxa"/>
            <w:vAlign w:val="center"/>
          </w:tcPr>
          <w:p>
            <w:pPr>
              <w:rPr>
                <w:rFonts w:hint="eastAsia" w:ascii="宋体" w:hAnsi="宋体" w:eastAsia="宋体"/>
                <w:bCs/>
                <w:color w:val="auto"/>
                <w:sz w:val="20"/>
                <w:szCs w:val="20"/>
              </w:rPr>
            </w:pPr>
            <w:r>
              <w:rPr>
                <w:rFonts w:hint="eastAsia" w:ascii="宋体" w:hAnsi="宋体"/>
                <w:bCs/>
                <w:color w:val="auto"/>
                <w:sz w:val="20"/>
                <w:szCs w:val="20"/>
                <w:lang w:eastAsia="zh-CN"/>
              </w:rPr>
              <w:t>兴庆区残疾人联合会</w:t>
            </w:r>
          </w:p>
        </w:tc>
        <w:tc>
          <w:tcPr>
            <w:tcW w:w="786" w:type="dxa"/>
            <w:vAlign w:val="center"/>
          </w:tcPr>
          <w:p>
            <w:pP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jc w:val="both"/>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5" w:hRule="atLeast"/>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20</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宁夏残疾人自主就业创业扶持首次申请</w:t>
            </w:r>
          </w:p>
        </w:tc>
        <w:tc>
          <w:tcPr>
            <w:tcW w:w="9747" w:type="dxa"/>
            <w:vAlign w:val="center"/>
          </w:tcPr>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【规范性文件】中国残联、国家发展改革委、民政部等15个部门《中国残疾人联合会国家卫生和计划生育委员会关于印发〈中华人民共和国残疾人证管理办法〉的通知》（残联发</w:t>
            </w:r>
            <w:r>
              <w:rPr>
                <w:rFonts w:hint="eastAsia" w:ascii="宋体" w:hAnsi="宋体" w:eastAsia="宋体"/>
                <w:bCs/>
                <w:color w:val="auto"/>
                <w:sz w:val="20"/>
                <w:szCs w:val="20"/>
              </w:rPr>
              <w:t>〔20</w:t>
            </w:r>
            <w:r>
              <w:rPr>
                <w:rFonts w:hint="eastAsia" w:ascii="宋体" w:hAnsi="宋体" w:eastAsia="宋体"/>
                <w:bCs/>
                <w:color w:val="auto"/>
                <w:sz w:val="20"/>
                <w:szCs w:val="20"/>
                <w:lang w:val="en-US" w:eastAsia="zh-CN"/>
              </w:rPr>
              <w:t>18</w:t>
            </w:r>
            <w:r>
              <w:rPr>
                <w:rFonts w:hint="eastAsia" w:ascii="宋体" w:hAnsi="宋体" w:eastAsia="宋体"/>
                <w:bCs/>
                <w:color w:val="auto"/>
                <w:sz w:val="20"/>
                <w:szCs w:val="20"/>
              </w:rPr>
              <w:t>〕</w:t>
            </w:r>
            <w:r>
              <w:rPr>
                <w:rFonts w:hint="eastAsia" w:ascii="宋体" w:hAnsi="宋体" w:eastAsia="宋体"/>
                <w:bCs/>
                <w:color w:val="auto"/>
                <w:kern w:val="0"/>
                <w:sz w:val="20"/>
                <w:szCs w:val="20"/>
              </w:rPr>
              <w:t>6号）</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一是提供合理便利和优先照顾；二是落实税收优惠和收费减免；三是提供金融扶持和资金补贴；四是支持重点对象和互联网+创业；五是提供支持保障和服务就业。</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【规范性文件】《自治区残联发展和改革委民政厅等15个部门关于印发&lt;宁夏回族自治区扶持残疾人自主就业创业办法&gt;的通知》（宁残联发〔2019〕7号）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 xml:space="preserve">第二十三条 </w:t>
            </w:r>
            <w:r>
              <w:rPr>
                <w:rFonts w:hint="eastAsia" w:ascii="宋体" w:hAnsi="宋体" w:eastAsia="宋体"/>
                <w:bCs/>
                <w:color w:val="auto"/>
                <w:spacing w:val="-6"/>
                <w:sz w:val="20"/>
                <w:szCs w:val="20"/>
              </w:rPr>
              <w:t>符合条件的残疾人申请自主就业创业扶持，需到就业创业所在地县级残联或残疾人劳动就业服务机构填写《宁夏残疾人自主就业创业扶持申请审批表》（见附件），并出具以下材料：（一）残疾人本人身份证、残疾人证原件及复印件。（二）首次创业的需提供《营业执照》原件及复印件。（三）首次创业的，应有固定的经营（服务）场所或一年以上的场地租赁合同（服务协议）。（四）灵活就业的需提供就业所在地村（社区）的证明</w:t>
            </w:r>
            <w:r>
              <w:rPr>
                <w:rFonts w:hint="eastAsia" w:ascii="宋体" w:hAnsi="宋体" w:eastAsia="宋体"/>
                <w:bCs/>
                <w:color w:val="auto"/>
                <w:sz w:val="20"/>
                <w:szCs w:val="20"/>
              </w:rPr>
              <w:t>。</w:t>
            </w:r>
          </w:p>
        </w:tc>
        <w:tc>
          <w:tcPr>
            <w:tcW w:w="1413" w:type="dxa"/>
            <w:vAlign w:val="center"/>
          </w:tcPr>
          <w:p>
            <w:pPr>
              <w:rPr>
                <w:rFonts w:hint="eastAsia" w:ascii="宋体" w:hAnsi="宋体" w:eastAsia="宋体"/>
                <w:bCs/>
                <w:color w:val="auto"/>
                <w:sz w:val="20"/>
                <w:szCs w:val="20"/>
              </w:rPr>
            </w:pPr>
            <w:r>
              <w:rPr>
                <w:rFonts w:hint="eastAsia" w:ascii="宋体" w:hAnsi="宋体"/>
                <w:bCs/>
                <w:color w:val="auto"/>
                <w:sz w:val="20"/>
                <w:szCs w:val="20"/>
                <w:lang w:eastAsia="zh-CN"/>
              </w:rPr>
              <w:t>兴庆区残疾人联合会</w:t>
            </w:r>
          </w:p>
        </w:tc>
        <w:tc>
          <w:tcPr>
            <w:tcW w:w="786" w:type="dxa"/>
            <w:vAlign w:val="center"/>
          </w:tcPr>
          <w:p>
            <w:pP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jc w:val="both"/>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3" w:hRule="atLeast"/>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21</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对就业困难人员灵活就业缴纳社会保险费的给予社会保险补贴</w:t>
            </w:r>
          </w:p>
        </w:tc>
        <w:tc>
          <w:tcPr>
            <w:tcW w:w="9747" w:type="dxa"/>
            <w:vAlign w:val="center"/>
          </w:tcPr>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w:t>
            </w:r>
            <w:r>
              <w:rPr>
                <w:rFonts w:hint="eastAsia" w:ascii="宋体" w:hAnsi="宋体" w:eastAsia="宋体"/>
                <w:bCs/>
                <w:color w:val="auto"/>
                <w:sz w:val="20"/>
                <w:szCs w:val="20"/>
                <w:lang w:eastAsia="zh-CN"/>
              </w:rPr>
              <w:t>规范性文件</w:t>
            </w:r>
            <w:r>
              <w:rPr>
                <w:rFonts w:hint="eastAsia" w:ascii="宋体" w:hAnsi="宋体" w:eastAsia="宋体"/>
                <w:bCs/>
                <w:color w:val="auto"/>
                <w:sz w:val="20"/>
                <w:szCs w:val="20"/>
              </w:rPr>
              <w:t>】《国务院关于进一步做好新形势下就业创业工作的意见》（国发〔2015〕23号）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（十四）</w:t>
            </w:r>
            <w:r>
              <w:rPr>
                <w:rFonts w:hint="eastAsia" w:ascii="宋体" w:hAnsi="宋体" w:eastAsia="宋体"/>
                <w:bCs/>
                <w:color w:val="auto"/>
                <w:spacing w:val="-6"/>
                <w:sz w:val="20"/>
                <w:szCs w:val="20"/>
              </w:rPr>
              <w:t>加强对困难人员的就业援助。对用人单位招用就业困难人员，签订劳动合同并缴纳社会保险费的，在一定期限内给予社会保险补贴。对就业困难人员灵活就业并缴纳社会保险费的，给予一定比例的社会保险补贴。</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【规范性文件】《关于印发〈就业补助资金管理办法〉的通知》（财社〔2017〕164号）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 xml:space="preserve">第四条第一款 </w:t>
            </w:r>
            <w:r>
              <w:rPr>
                <w:rFonts w:hint="eastAsia" w:ascii="宋体" w:hAnsi="宋体" w:eastAsia="宋体"/>
                <w:bCs/>
                <w:color w:val="auto"/>
                <w:spacing w:val="-6"/>
                <w:sz w:val="20"/>
                <w:szCs w:val="20"/>
              </w:rPr>
              <w:t>就业补助资金分为对个人和单位的补贴、公共就业服务能力建设补助两类。第二款 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r>
              <w:rPr>
                <w:rFonts w:hint="eastAsia" w:ascii="宋体" w:hAnsi="宋体" w:eastAsia="宋体"/>
                <w:bCs/>
                <w:color w:val="auto"/>
                <w:sz w:val="20"/>
                <w:szCs w:val="20"/>
              </w:rPr>
              <w:t>。</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第七条 享受社会保险补贴的人员范围包括：符合《就业促进法》规定的就业困难人员和高校毕业生。社会保险补贴用于以下方面：（一）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对就业困难人员灵活就业后缴纳的社会保险费，给予一定数额的社会保险补贴，补贴标准原则上不超过其实际缴费的2/3。就业困难人员社会保险补贴期限，除对距法定退休年龄不足5年的就业困难人员可延长至退休外，其余人员最长不超过3年（以初次核定其享受社会保险补贴时年龄为准）。</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【规范性文件】《关于进一步加大就业扶贫政策支持力度着力提高劳务组织化程度的通知》（人社部发〔2018〕46号）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一、大力促进就地就近就业。……对企业吸纳贫困劳动力就业的，参照就业困难人员落实社会保险补贴等政策……三、大力开展有组织劳务输出。……对企业接收外地贫困劳动力就业的，输入地要参照当地就业困难人员落实社会保险补贴、创业担保贷款及贴息等政策……。</w:t>
            </w:r>
          </w:p>
        </w:tc>
        <w:tc>
          <w:tcPr>
            <w:tcW w:w="1413" w:type="dxa"/>
            <w:vAlign w:val="center"/>
          </w:tcPr>
          <w:p>
            <w:pPr>
              <w:rPr>
                <w:rFonts w:hint="eastAsia" w:ascii="宋体" w:hAnsi="宋体" w:eastAsia="宋体"/>
                <w:bCs/>
                <w:color w:val="auto"/>
                <w:sz w:val="20"/>
                <w:szCs w:val="20"/>
                <w:lang w:eastAsia="zh-CN"/>
              </w:rPr>
            </w:pPr>
            <w:r>
              <w:rPr>
                <w:rFonts w:hint="eastAsia" w:ascii="宋体" w:hAnsi="宋体"/>
                <w:bCs/>
                <w:color w:val="auto"/>
                <w:sz w:val="20"/>
                <w:szCs w:val="20"/>
                <w:lang w:eastAsia="zh-CN"/>
              </w:rPr>
              <w:t>银川市人力资源社会保障局</w:t>
            </w:r>
          </w:p>
        </w:tc>
        <w:tc>
          <w:tcPr>
            <w:tcW w:w="786" w:type="dxa"/>
            <w:vAlign w:val="center"/>
          </w:tcPr>
          <w:p>
            <w:pP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rPr>
                <w:rFonts w:hint="default"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1" w:hRule="atLeast"/>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22</w:t>
            </w:r>
          </w:p>
        </w:tc>
        <w:tc>
          <w:tcPr>
            <w:tcW w:w="1507" w:type="dxa"/>
            <w:vAlign w:val="center"/>
          </w:tcPr>
          <w:p>
            <w:pPr>
              <w:widowControl/>
              <w:jc w:val="left"/>
              <w:textAlignment w:val="center"/>
              <w:rPr>
                <w:rFonts w:hint="eastAsia" w:ascii="宋体" w:hAnsi="宋体" w:eastAsia="宋体"/>
                <w:bCs/>
                <w:color w:val="auto"/>
                <w:sz w:val="20"/>
                <w:szCs w:val="20"/>
              </w:rPr>
            </w:pPr>
            <w:r>
              <w:rPr>
                <w:rFonts w:hint="eastAsia" w:ascii="宋体" w:hAnsi="宋体" w:eastAsia="宋体"/>
                <w:bCs/>
                <w:color w:val="auto"/>
                <w:sz w:val="20"/>
                <w:szCs w:val="20"/>
              </w:rPr>
              <w:t>用人单位招收（转入）职工劳动合同备案</w:t>
            </w:r>
          </w:p>
          <w:p>
            <w:pPr>
              <w:widowControl/>
              <w:jc w:val="left"/>
              <w:textAlignment w:val="center"/>
              <w:rPr>
                <w:rFonts w:hint="eastAsia" w:ascii="宋体" w:hAnsi="宋体" w:eastAsia="宋体"/>
                <w:bCs/>
                <w:color w:val="auto"/>
                <w:sz w:val="20"/>
                <w:szCs w:val="20"/>
              </w:rPr>
            </w:pPr>
            <w:r>
              <w:rPr>
                <w:rFonts w:hint="eastAsia" w:ascii="宋体" w:hAnsi="宋体" w:eastAsia="宋体"/>
                <w:bCs/>
                <w:color w:val="auto"/>
                <w:sz w:val="20"/>
                <w:szCs w:val="20"/>
              </w:rPr>
              <w:t>用人单位招收（转入）职工劳动合同备案</w:t>
            </w:r>
          </w:p>
        </w:tc>
        <w:tc>
          <w:tcPr>
            <w:tcW w:w="9747" w:type="dxa"/>
            <w:vAlign w:val="center"/>
          </w:tcPr>
          <w:p>
            <w:pPr>
              <w:widowControl/>
              <w:ind w:firstLine="400" w:firstLineChars="200"/>
              <w:textAlignment w:val="center"/>
              <w:rPr>
                <w:rFonts w:hint="eastAsia" w:ascii="宋体" w:hAnsi="宋体" w:eastAsia="宋体"/>
                <w:bCs/>
                <w:color w:val="auto"/>
                <w:sz w:val="20"/>
                <w:szCs w:val="20"/>
                <w:lang w:eastAsia="zh-CN"/>
              </w:rPr>
            </w:pPr>
            <w:r>
              <w:rPr>
                <w:rFonts w:hint="eastAsia" w:ascii="宋体" w:hAnsi="宋体" w:eastAsia="宋体"/>
                <w:bCs/>
                <w:color w:val="auto"/>
                <w:sz w:val="20"/>
                <w:szCs w:val="20"/>
              </w:rPr>
              <w:t>【法律】《中华人民共和国劳动法》</w:t>
            </w:r>
            <w:r>
              <w:rPr>
                <w:rFonts w:hint="eastAsia" w:ascii="宋体" w:hAnsi="宋体" w:eastAsia="宋体"/>
                <w:bCs/>
                <w:color w:val="auto"/>
                <w:sz w:val="20"/>
                <w:szCs w:val="20"/>
                <w:lang w:eastAsia="zh-CN"/>
              </w:rPr>
              <w:t>（</w:t>
            </w:r>
            <w:r>
              <w:rPr>
                <w:rFonts w:hint="eastAsia" w:ascii="宋体" w:hAnsi="宋体" w:eastAsia="宋体"/>
                <w:bCs/>
                <w:color w:val="auto"/>
                <w:sz w:val="20"/>
                <w:szCs w:val="20"/>
                <w:lang w:val="en-US" w:eastAsia="zh-CN"/>
              </w:rPr>
              <w:t>2018年全国人民代表大会常务委员会第7次会议第二次修正</w:t>
            </w:r>
            <w:r>
              <w:rPr>
                <w:rFonts w:hint="eastAsia" w:ascii="宋体" w:hAnsi="宋体" w:eastAsia="宋体"/>
                <w:bCs/>
                <w:color w:val="auto"/>
                <w:sz w:val="20"/>
                <w:szCs w:val="20"/>
                <w:lang w:eastAsia="zh-CN"/>
              </w:rPr>
              <w:t>）</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 xml:space="preserve">第二十七条 </w:t>
            </w:r>
            <w:r>
              <w:rPr>
                <w:rFonts w:hint="eastAsia" w:ascii="宋体" w:hAnsi="宋体" w:eastAsia="宋体"/>
                <w:bCs/>
                <w:color w:val="auto"/>
                <w:spacing w:val="-6"/>
                <w:sz w:val="20"/>
                <w:szCs w:val="20"/>
              </w:rPr>
              <w:t>用人单位濒临破产进行法定整顿期间或者生产经营状况发生严重困难，确需裁减人员的，应当提前三十日向工会或者全体职工说明情况，听取工会或者职工的意见，经向劳动行政部门报告后，可以裁减人员</w:t>
            </w:r>
            <w:r>
              <w:rPr>
                <w:rFonts w:hint="eastAsia" w:ascii="宋体" w:hAnsi="宋体" w:eastAsia="宋体"/>
                <w:bCs/>
                <w:color w:val="auto"/>
                <w:sz w:val="20"/>
                <w:szCs w:val="20"/>
              </w:rPr>
              <w:t>。</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第三十四条 集体合同订立后应当报送劳动行政部门……。</w:t>
            </w:r>
          </w:p>
          <w:p>
            <w:pPr>
              <w:widowControl/>
              <w:ind w:firstLine="400" w:firstLineChars="200"/>
              <w:textAlignment w:val="center"/>
              <w:rPr>
                <w:rFonts w:hint="eastAsia" w:ascii="宋体" w:hAnsi="宋体" w:eastAsia="宋体"/>
                <w:bCs/>
                <w:color w:val="auto"/>
                <w:sz w:val="20"/>
                <w:szCs w:val="20"/>
                <w:lang w:eastAsia="zh-CN"/>
              </w:rPr>
            </w:pPr>
            <w:r>
              <w:rPr>
                <w:rFonts w:hint="eastAsia" w:ascii="宋体" w:hAnsi="宋体" w:eastAsia="宋体"/>
                <w:bCs/>
                <w:color w:val="auto"/>
                <w:sz w:val="20"/>
                <w:szCs w:val="20"/>
              </w:rPr>
              <w:t>【法律】《中华人民共和国劳动合同法》</w:t>
            </w:r>
            <w:r>
              <w:rPr>
                <w:rFonts w:hint="eastAsia" w:ascii="宋体" w:hAnsi="宋体" w:eastAsia="宋体"/>
                <w:bCs/>
                <w:color w:val="auto"/>
                <w:sz w:val="20"/>
                <w:szCs w:val="20"/>
                <w:lang w:eastAsia="zh-CN"/>
              </w:rPr>
              <w:t>（</w:t>
            </w:r>
            <w:r>
              <w:rPr>
                <w:rFonts w:hint="eastAsia" w:ascii="宋体" w:hAnsi="宋体" w:eastAsia="宋体"/>
                <w:bCs/>
                <w:color w:val="auto"/>
                <w:sz w:val="20"/>
                <w:szCs w:val="20"/>
                <w:lang w:val="en-US" w:eastAsia="zh-CN"/>
              </w:rPr>
              <w:t>2012年全国人民代表大会常务委员会第30次会议修正</w:t>
            </w:r>
            <w:r>
              <w:rPr>
                <w:rFonts w:hint="eastAsia" w:ascii="宋体" w:hAnsi="宋体" w:eastAsia="宋体"/>
                <w:bCs/>
                <w:color w:val="auto"/>
                <w:sz w:val="20"/>
                <w:szCs w:val="20"/>
                <w:lang w:eastAsia="zh-CN"/>
              </w:rPr>
              <w:t>）</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第四十一条 ……需要裁减人员二十人以上或者裁减不足二十人但占企业职工总数百分之十以上的，用人单位提前三十日向工会或者全体职工说明情况，听取工会或者职工的意见后，裁减人员方案经向劳动  行政部门报告，可以裁减人员……。</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第五十四条 集体合同订立后，应当报送劳动行政部门……。</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【部门规章】《工资集体协商试行办法》（中华人民共和国劳动和社会保障部令第9号）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第六条 县级以上劳动保障行政部门依法对工资协议进行审查，对协议的履行情况进行监督检查。</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 xml:space="preserve">第二十一条 </w:t>
            </w:r>
            <w:r>
              <w:rPr>
                <w:rFonts w:hint="eastAsia" w:ascii="宋体" w:hAnsi="宋体" w:eastAsia="宋体"/>
                <w:bCs/>
                <w:color w:val="auto"/>
                <w:spacing w:val="-6"/>
                <w:sz w:val="20"/>
                <w:szCs w:val="20"/>
              </w:rPr>
              <w:t>工资协议签订后，应于7日内由企业将工资协议一式三份及说明，报送劳动保障行政部门审查。</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【部门规章】《集体合同规定》（中华人民共和国劳动和社会保障部令第22号）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第四十二条 集体合同或专项集体合同签订或变更后，应当自双方首席代表签字之日起10日内，由用人单位一方将文本一式三份报送劳动保障行政部门审查。</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【规范性文件】《中共中央国务院关于构建和谐劳动关系的意见》</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（八）</w:t>
            </w:r>
            <w:r>
              <w:rPr>
                <w:rFonts w:hint="eastAsia" w:ascii="宋体" w:hAnsi="宋体" w:eastAsia="宋体"/>
                <w:bCs/>
                <w:color w:val="auto"/>
                <w:spacing w:val="-11"/>
                <w:sz w:val="20"/>
                <w:szCs w:val="20"/>
              </w:rPr>
              <w:t>全面实行劳动合同制度。……全面推进  劳动用工信息申报备案制度建设，加强对企业劳动用工的动态管理</w:t>
            </w:r>
            <w:r>
              <w:rPr>
                <w:rFonts w:hint="eastAsia" w:ascii="宋体" w:hAnsi="宋体" w:eastAsia="宋体"/>
                <w:bCs/>
                <w:color w:val="auto"/>
                <w:sz w:val="20"/>
                <w:szCs w:val="20"/>
              </w:rPr>
              <w:t>。</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【规范性文件】《关于建立劳动用工备案制度的通知》（劳部发﹝2006﹞46号）全文。</w:t>
            </w:r>
          </w:p>
        </w:tc>
        <w:tc>
          <w:tcPr>
            <w:tcW w:w="1413" w:type="dxa"/>
            <w:vAlign w:val="center"/>
          </w:tcPr>
          <w:p>
            <w:pPr>
              <w:rPr>
                <w:rFonts w:hint="eastAsia" w:ascii="宋体" w:hAnsi="宋体" w:eastAsia="宋体"/>
                <w:bCs/>
                <w:color w:val="auto"/>
                <w:kern w:val="0"/>
                <w:sz w:val="20"/>
                <w:szCs w:val="20"/>
              </w:rPr>
            </w:pPr>
            <w:r>
              <w:rPr>
                <w:rFonts w:hint="eastAsia" w:ascii="宋体" w:hAnsi="宋体"/>
                <w:bCs/>
                <w:color w:val="auto"/>
                <w:sz w:val="20"/>
                <w:szCs w:val="20"/>
                <w:lang w:eastAsia="zh-CN"/>
              </w:rPr>
              <w:t>银川市人力资源社会保障局</w:t>
            </w:r>
          </w:p>
        </w:tc>
        <w:tc>
          <w:tcPr>
            <w:tcW w:w="786" w:type="dxa"/>
            <w:vAlign w:val="center"/>
          </w:tcPr>
          <w:p>
            <w:pP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23</w:t>
            </w:r>
          </w:p>
        </w:tc>
        <w:tc>
          <w:tcPr>
            <w:tcW w:w="1507" w:type="dxa"/>
            <w:vAlign w:val="center"/>
          </w:tcPr>
          <w:p>
            <w:pPr>
              <w:widowControl/>
              <w:jc w:val="left"/>
              <w:textAlignment w:val="center"/>
              <w:rPr>
                <w:rFonts w:hint="eastAsia" w:ascii="宋体" w:hAnsi="宋体" w:eastAsia="宋体"/>
                <w:bCs/>
                <w:color w:val="auto"/>
                <w:sz w:val="20"/>
                <w:szCs w:val="20"/>
              </w:rPr>
            </w:pPr>
            <w:r>
              <w:rPr>
                <w:rFonts w:hint="eastAsia" w:ascii="宋体" w:hAnsi="宋体" w:eastAsia="宋体"/>
                <w:bCs/>
                <w:color w:val="auto"/>
                <w:sz w:val="20"/>
                <w:szCs w:val="20"/>
              </w:rPr>
              <w:t>用人单位与职工解除（终止）劳动合同备案</w:t>
            </w:r>
          </w:p>
        </w:tc>
        <w:tc>
          <w:tcPr>
            <w:tcW w:w="9747" w:type="dxa"/>
            <w:vAlign w:val="center"/>
          </w:tcPr>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w:t>
            </w:r>
            <w:r>
              <w:rPr>
                <w:rFonts w:hint="eastAsia" w:ascii="宋体" w:hAnsi="宋体" w:eastAsia="宋体"/>
                <w:bCs/>
                <w:color w:val="auto"/>
                <w:sz w:val="20"/>
                <w:szCs w:val="20"/>
                <w:lang w:eastAsia="zh-CN"/>
              </w:rPr>
              <w:t>规范性文件</w:t>
            </w:r>
            <w:r>
              <w:rPr>
                <w:rFonts w:hint="eastAsia" w:ascii="宋体" w:hAnsi="宋体" w:eastAsia="宋体"/>
                <w:bCs/>
                <w:color w:val="auto"/>
                <w:sz w:val="20"/>
                <w:szCs w:val="20"/>
              </w:rPr>
              <w:t xml:space="preserve">】《关于建立劳动用工备案制度的通知》(劳社部发〔2006〕46号)  </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第三条 规范劳动用工备案的内容和要求：（一）用人单位进行劳动用工备案的信息应当包括：用人单位名称、法定代表人、经济类型、组织机构代码，招用职工的人数、姓名、性别、公民身份号码，与职工签订劳动合同的起止时间，终止或解除劳动合同的人数、职工姓名、时间等。（二）用人单位新招用职工或与职工续订劳动合同的，应自招用或续订劳动合同之日起30日内进行劳动用工备案。用人单位与职工终止或解除劳动合同的，应在终止或解除劳动合同后7日内进行劳动用工备案。用人单位名称、法定代表人、经济类型、组织机构代码发生变更后，应在30日内办理劳动用工备案变更手续。用人单位注销后，应在7日内办理劳动用工备案注销手续。（三）用人单位登记注册地与实际经营地不一致的，在实际经营地的劳动保障行政部门进行劳动用工备案。</w:t>
            </w:r>
          </w:p>
        </w:tc>
        <w:tc>
          <w:tcPr>
            <w:tcW w:w="1413" w:type="dxa"/>
            <w:vAlign w:val="center"/>
          </w:tcPr>
          <w:p>
            <w:pPr>
              <w:rPr>
                <w:rFonts w:hint="eastAsia" w:ascii="宋体" w:hAnsi="宋体" w:eastAsia="宋体"/>
                <w:bCs/>
                <w:color w:val="auto"/>
                <w:kern w:val="0"/>
                <w:sz w:val="20"/>
                <w:szCs w:val="20"/>
              </w:rPr>
            </w:pPr>
            <w:r>
              <w:rPr>
                <w:rFonts w:hint="eastAsia" w:ascii="宋体" w:hAnsi="宋体"/>
                <w:bCs/>
                <w:color w:val="auto"/>
                <w:sz w:val="20"/>
                <w:szCs w:val="20"/>
                <w:lang w:eastAsia="zh-CN"/>
              </w:rPr>
              <w:t>银川市人力资源社会保障局</w:t>
            </w:r>
          </w:p>
        </w:tc>
        <w:tc>
          <w:tcPr>
            <w:tcW w:w="786" w:type="dxa"/>
            <w:vAlign w:val="center"/>
          </w:tcPr>
          <w:p>
            <w:pP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bl>
    <w:p>
      <w:pPr>
        <w:rPr>
          <w:rFonts w:hint="eastAsia" w:ascii="方正黑体简体" w:hAnsi="方正黑体简体" w:eastAsia="方正黑体简体" w:cs="方正黑体简体"/>
          <w:b/>
          <w:bCs/>
          <w:color w:val="auto"/>
          <w:sz w:val="24"/>
          <w:szCs w:val="24"/>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3"/>
        <w:spacing w:before="624" w:beforeLines="200" w:after="312" w:afterLines="100" w:line="360" w:lineRule="exact"/>
        <w:jc w:val="center"/>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六、其他类（2项）</w:t>
      </w:r>
    </w:p>
    <w:tbl>
      <w:tblPr>
        <w:tblStyle w:val="10"/>
        <w:tblW w:w="14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07"/>
        <w:gridCol w:w="9760"/>
        <w:gridCol w:w="1413"/>
        <w:gridCol w:w="77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序号</w:t>
            </w:r>
          </w:p>
        </w:tc>
        <w:tc>
          <w:tcPr>
            <w:tcW w:w="1507"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职权名称</w:t>
            </w:r>
          </w:p>
        </w:tc>
        <w:tc>
          <w:tcPr>
            <w:tcW w:w="9760"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设定依据</w:t>
            </w:r>
          </w:p>
        </w:tc>
        <w:tc>
          <w:tcPr>
            <w:tcW w:w="1413"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原行使层级及部门</w:t>
            </w:r>
          </w:p>
        </w:tc>
        <w:tc>
          <w:tcPr>
            <w:tcW w:w="773" w:type="dxa"/>
            <w:tcBorders>
              <w:top w:val="single" w:color="auto" w:sz="4" w:space="0"/>
              <w:left w:val="nil"/>
              <w:bottom w:val="single" w:color="auto" w:sz="4" w:space="0"/>
              <w:right w:val="single" w:color="auto" w:sz="4" w:space="0"/>
            </w:tcBorders>
            <w:vAlign w:val="center"/>
          </w:tcPr>
          <w:p>
            <w:pPr>
              <w:jc w:val="center"/>
              <w:rPr>
                <w:rFonts w:hint="default" w:ascii="方正黑体简体" w:hAnsi="方正黑体简体" w:eastAsia="方正黑体简体" w:cs="方正黑体简体"/>
                <w:bCs/>
                <w:color w:val="auto"/>
                <w:sz w:val="20"/>
                <w:szCs w:val="20"/>
                <w:lang w:val="en-US" w:eastAsia="zh-CN"/>
              </w:rPr>
            </w:pPr>
            <w:r>
              <w:rPr>
                <w:rFonts w:hint="eastAsia" w:ascii="方正黑体简体" w:hAnsi="方正黑体简体" w:eastAsia="方正黑体简体" w:cs="方正黑体简体"/>
                <w:bCs/>
                <w:color w:val="auto"/>
                <w:sz w:val="20"/>
                <w:szCs w:val="20"/>
                <w:lang w:val="en-US" w:eastAsia="zh-CN"/>
              </w:rPr>
              <w:t>承接部门</w:t>
            </w:r>
          </w:p>
        </w:tc>
        <w:tc>
          <w:tcPr>
            <w:tcW w:w="773"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pStyle w:val="6"/>
              <w:autoSpaceDE w:val="0"/>
              <w:spacing w:beforeAutospacing="0"/>
              <w:ind w:left="0" w:leftChars="0" w:firstLine="0" w:firstLineChars="0"/>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1</w:t>
            </w:r>
          </w:p>
        </w:tc>
        <w:tc>
          <w:tcPr>
            <w:tcW w:w="150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城乡居民医疗保险参保信息变更</w:t>
            </w:r>
          </w:p>
        </w:tc>
        <w:tc>
          <w:tcPr>
            <w:tcW w:w="9760" w:type="dxa"/>
            <w:tcBorders>
              <w:top w:val="single" w:color="auto" w:sz="4" w:space="0"/>
              <w:left w:val="nil"/>
              <w:bottom w:val="single" w:color="auto" w:sz="4" w:space="0"/>
              <w:right w:val="single" w:color="auto" w:sz="4" w:space="0"/>
            </w:tcBorders>
            <w:vAlign w:val="center"/>
          </w:tcPr>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【法律】《中华人民共和国社会保险法》（2018年全国人民代表大会常务委员会第7次会议第二次修正）</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第八条 社会保险经办机构提供社会保险服务，负责社会保险登记、个人权益记录、社会保险待遇支付等工作。</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第三十一条 社会保险经办机构根据管理服务的需要，可以与医疗机构、药品经营单位签订服务协议，规范医疗服务行为。</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医疗机构应当为参保人员提供合理、必要的医疗服务。</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第二款 用人单位的社会保险登记事项发生变更或者用人单位依法终止的，应当自变更或终止之日起三十日内，到社会保险经办机构办理变更或者注销社会保险登记。</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【行政法规】《社会保险费征缴暂行条例》（2019年国务院令第710号修订）</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第九条 缴费单位的社会保险登记事项发生变更或者缴费单位依法终止的，应当自变更或者终止之日起三十日内，到社会保险经办机构办理变更或者终止社会保险登记手续。</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【规范性文件】《宁夏回族自治区城乡居民基本医疗保险自治区统筹管理经办规程（试行）》（宁社保发〔2015〕22号）</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第十一条 参保人员因身份证号码、户籍所在地等基本信息发生变更时，应携带有关证件、材料及时到参保地的</w:t>
            </w:r>
            <w:r>
              <w:rPr>
                <w:rFonts w:hint="eastAsia" w:ascii="宋体" w:hAnsi="宋体" w:cs="宋体"/>
                <w:bCs/>
                <w:color w:val="auto"/>
                <w:kern w:val="2"/>
                <w:sz w:val="20"/>
                <w:szCs w:val="20"/>
                <w:lang w:val="en-US" w:eastAsia="zh-CN" w:bidi="ar-SA"/>
              </w:rPr>
              <w:t>民生服务中心（退役军人服务站）</w:t>
            </w:r>
            <w:r>
              <w:rPr>
                <w:rFonts w:hint="eastAsia" w:ascii="宋体" w:hAnsi="宋体" w:eastAsia="宋体" w:cs="宋体"/>
                <w:bCs/>
                <w:color w:val="auto"/>
                <w:kern w:val="2"/>
                <w:sz w:val="20"/>
                <w:szCs w:val="20"/>
                <w:lang w:val="en-US" w:eastAsia="zh-CN" w:bidi="ar-SA"/>
              </w:rPr>
              <w:t>申请办理变更登记手续，填写《城乡居民基本医疗保险信息变更登记表》，经审核后办理登记信息变更。</w:t>
            </w:r>
          </w:p>
        </w:tc>
        <w:tc>
          <w:tcPr>
            <w:tcW w:w="1413" w:type="dxa"/>
            <w:tcBorders>
              <w:top w:val="single" w:color="auto" w:sz="4" w:space="0"/>
              <w:left w:val="nil"/>
              <w:bottom w:val="single" w:color="auto" w:sz="4" w:space="0"/>
              <w:right w:val="single" w:color="auto" w:sz="4" w:space="0"/>
            </w:tcBorders>
            <w:vAlign w:val="center"/>
          </w:tcPr>
          <w:p>
            <w:pPr>
              <w:autoSpaceDE w:val="0"/>
              <w:rPr>
                <w:rFonts w:hint="eastAsia" w:ascii="宋体" w:hAnsi="宋体" w:eastAsia="宋体" w:cs="宋体"/>
                <w:bCs/>
                <w:color w:val="auto"/>
                <w:kern w:val="2"/>
                <w:sz w:val="20"/>
                <w:szCs w:val="20"/>
                <w:lang w:val="en-US" w:eastAsia="zh-CN" w:bidi="ar-SA"/>
              </w:rPr>
            </w:pPr>
            <w:r>
              <w:rPr>
                <w:rFonts w:hint="eastAsia" w:ascii="宋体" w:hAnsi="宋体"/>
                <w:bCs/>
                <w:color w:val="auto"/>
                <w:sz w:val="20"/>
                <w:szCs w:val="20"/>
                <w:lang w:eastAsia="zh-CN"/>
              </w:rPr>
              <w:t>银川市人力资源社会保障局</w:t>
            </w:r>
          </w:p>
        </w:tc>
        <w:tc>
          <w:tcPr>
            <w:tcW w:w="773" w:type="dxa"/>
            <w:tcBorders>
              <w:top w:val="single" w:color="auto" w:sz="4" w:space="0"/>
              <w:left w:val="nil"/>
              <w:bottom w:val="single" w:color="auto" w:sz="4" w:space="0"/>
              <w:right w:val="single" w:color="auto" w:sz="4" w:space="0"/>
            </w:tcBorders>
            <w:vAlign w:val="center"/>
          </w:tcPr>
          <w:p>
            <w:pPr>
              <w:autoSpaceDE w:val="0"/>
              <w:rPr>
                <w:rFonts w:hint="eastAsia" w:ascii="宋体" w:hAnsi="宋体"/>
                <w:bCs/>
                <w:color w:val="auto"/>
                <w:sz w:val="20"/>
                <w:szCs w:val="20"/>
                <w:lang w:eastAsia="zh-CN"/>
              </w:rPr>
            </w:pPr>
            <w:r>
              <w:rPr>
                <w:rFonts w:hint="eastAsia" w:ascii="宋体" w:hAnsi="宋体"/>
                <w:color w:val="auto"/>
                <w:spacing w:val="0"/>
                <w:sz w:val="20"/>
                <w:szCs w:val="20"/>
                <w:lang w:val="en-US" w:eastAsia="zh-CN"/>
              </w:rPr>
              <w:t>兴庆区前进街街道办事处</w:t>
            </w:r>
          </w:p>
        </w:tc>
        <w:tc>
          <w:tcPr>
            <w:tcW w:w="773" w:type="dxa"/>
            <w:tcBorders>
              <w:top w:val="single" w:color="auto" w:sz="4" w:space="0"/>
              <w:left w:val="nil"/>
              <w:bottom w:val="single" w:color="auto" w:sz="4" w:space="0"/>
              <w:right w:val="single" w:color="auto" w:sz="4" w:space="0"/>
            </w:tcBorders>
            <w:vAlign w:val="center"/>
          </w:tcPr>
          <w:p>
            <w:pPr>
              <w:autoSpaceDE w:val="0"/>
              <w:rPr>
                <w:rFonts w:hint="eastAsia" w:ascii="宋体" w:hAnsi="宋体" w:eastAsia="宋体" w:cs="宋体"/>
                <w:bCs/>
                <w:color w:val="auto"/>
                <w:kern w:val="2"/>
                <w:sz w:val="20"/>
                <w:szCs w:val="20"/>
                <w:lang w:val="en-US" w:eastAsia="zh-CN" w:bidi="ar-SA"/>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序号</w:t>
            </w:r>
          </w:p>
        </w:tc>
        <w:tc>
          <w:tcPr>
            <w:tcW w:w="1507"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职权名称</w:t>
            </w:r>
          </w:p>
        </w:tc>
        <w:tc>
          <w:tcPr>
            <w:tcW w:w="9760"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设定依据</w:t>
            </w:r>
          </w:p>
        </w:tc>
        <w:tc>
          <w:tcPr>
            <w:tcW w:w="1413"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原行使层级及部门</w:t>
            </w:r>
          </w:p>
        </w:tc>
        <w:tc>
          <w:tcPr>
            <w:tcW w:w="773" w:type="dxa"/>
            <w:tcBorders>
              <w:top w:val="single" w:color="auto" w:sz="4" w:space="0"/>
              <w:left w:val="nil"/>
              <w:bottom w:val="single" w:color="auto" w:sz="4" w:space="0"/>
              <w:right w:val="single" w:color="auto" w:sz="4" w:space="0"/>
            </w:tcBorders>
            <w:vAlign w:val="center"/>
          </w:tcPr>
          <w:p>
            <w:pPr>
              <w:jc w:val="center"/>
              <w:rPr>
                <w:rFonts w:hint="default" w:ascii="方正黑体简体" w:hAnsi="方正黑体简体" w:eastAsia="方正黑体简体" w:cs="方正黑体简体"/>
                <w:bCs/>
                <w:color w:val="auto"/>
                <w:sz w:val="20"/>
                <w:szCs w:val="20"/>
                <w:lang w:val="en-US" w:eastAsia="zh-CN"/>
              </w:rPr>
            </w:pPr>
            <w:r>
              <w:rPr>
                <w:rFonts w:hint="eastAsia" w:ascii="方正黑体简体" w:hAnsi="方正黑体简体" w:eastAsia="方正黑体简体" w:cs="方正黑体简体"/>
                <w:bCs/>
                <w:color w:val="auto"/>
                <w:sz w:val="20"/>
                <w:szCs w:val="20"/>
                <w:lang w:val="en-US" w:eastAsia="zh-CN"/>
              </w:rPr>
              <w:t>承接部门</w:t>
            </w:r>
          </w:p>
        </w:tc>
        <w:tc>
          <w:tcPr>
            <w:tcW w:w="773"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pStyle w:val="6"/>
              <w:autoSpaceDE w:val="0"/>
              <w:spacing w:beforeAutospacing="0"/>
              <w:ind w:left="0" w:leftChars="0" w:firstLine="0" w:firstLineChars="0"/>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2</w:t>
            </w:r>
          </w:p>
        </w:tc>
        <w:tc>
          <w:tcPr>
            <w:tcW w:w="150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城乡居民基本医疗保险参保登记</w:t>
            </w:r>
          </w:p>
        </w:tc>
        <w:tc>
          <w:tcPr>
            <w:tcW w:w="9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【法律】《中华人民共和国社会保险法》（2018年全国人民代表大会常务委员会第7次会议修正）</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第八条 社会保险经办机构提供社会保险服务，负责社会保险登记、个人权益记录、社会保险待遇支付等工作。</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第三十一条 社会保险经办机构根据管理服务的需要，可以与医疗机构、药品经营单位签订服务协议，规范医疗服务行为。</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医疗机构应当为参保人员提供合理、必要的医疗服务。</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第二款 用人单位的社会保险登记事项发生变更或者用人单位依法终止的，应当自变更或终止之日起三十日内，到社会保险经办机构办理变更或者注销社会保险登记。</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【行政法规】《社会保险费征缴暂行条例》（2019年国务院令第710号修订）</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第七条第一款 缴费单位必须向当地社会保险经办机构办理社会保险登记，参加社会保险。</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【规范性文件】《宁夏回族自治区城乡居民基本医疗保险自治区统筹管理经办规程（试行）》（宁社保发〔2015〕22号）</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第四条 首次参加居民医保的，申请人携带户口簿、身份证等有关证件到户籍所在地的</w:t>
            </w:r>
            <w:r>
              <w:rPr>
                <w:rFonts w:hint="eastAsia" w:ascii="宋体" w:hAnsi="宋体" w:cs="宋体"/>
                <w:bCs/>
                <w:color w:val="auto"/>
                <w:kern w:val="2"/>
                <w:sz w:val="20"/>
                <w:szCs w:val="20"/>
                <w:lang w:val="en-US" w:eastAsia="zh-CN" w:bidi="ar-SA"/>
              </w:rPr>
              <w:t>民生服务中心（退役军人服务站）</w:t>
            </w:r>
            <w:r>
              <w:rPr>
                <w:rFonts w:hint="eastAsia" w:ascii="宋体" w:hAnsi="宋体" w:eastAsia="宋体" w:cs="宋体"/>
                <w:bCs/>
                <w:color w:val="auto"/>
                <w:kern w:val="2"/>
                <w:sz w:val="20"/>
                <w:szCs w:val="20"/>
                <w:lang w:val="en-US" w:eastAsia="zh-CN" w:bidi="ar-SA"/>
              </w:rPr>
              <w:t>办理参保登记，录入基本信息。特殊人群参保，依据相关规定执行。</w:t>
            </w:r>
          </w:p>
          <w:p>
            <w:pPr>
              <w:keepNext w:val="0"/>
              <w:keepLines w:val="0"/>
              <w:pageBreakBefore w:val="0"/>
              <w:widowControl/>
              <w:kinsoku/>
              <w:wordWrap/>
              <w:overflowPunct/>
              <w:topLinePunct w:val="0"/>
              <w:autoSpaceDE/>
              <w:autoSpaceDN/>
              <w:bidi w:val="0"/>
              <w:adjustRightInd/>
              <w:snapToGrid/>
              <w:spacing w:line="300" w:lineRule="exact"/>
              <w:ind w:firstLine="400" w:firstLineChars="2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第五条 大中专院校在校学生未在户籍地参保的，应以学校为单位参保，由单位协办人（各类学校或教育部门指定机构的专、兼职协管人员）统一进行参保人员信息收集、初审、记录、汇总和上报，按照规定的数据格式将登记信息录入电子表格文件，携带登记资料与登记信息电子文件统一到学校所在地经办机构办理参保登记。</w:t>
            </w:r>
          </w:p>
          <w:p>
            <w:pPr>
              <w:keepNext w:val="0"/>
              <w:keepLines w:val="0"/>
              <w:pageBreakBefore w:val="0"/>
              <w:widowControl/>
              <w:kinsoku/>
              <w:wordWrap/>
              <w:overflowPunct/>
              <w:topLinePunct w:val="0"/>
              <w:autoSpaceDE/>
              <w:autoSpaceDN/>
              <w:bidi w:val="0"/>
              <w:adjustRightInd/>
              <w:snapToGrid/>
              <w:spacing w:line="300" w:lineRule="exact"/>
              <w:ind w:firstLine="400" w:firstLineChars="2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第六条 新生儿缴纳当年度医保费用后,按规定享受居民医保待遇。新生儿落地参保业务按照《宁夏新生儿落地参加城乡居民基本医疗保险业务经办规程》的规定执行。</w:t>
            </w:r>
          </w:p>
        </w:tc>
        <w:tc>
          <w:tcPr>
            <w:tcW w:w="1413" w:type="dxa"/>
            <w:tcBorders>
              <w:top w:val="single" w:color="auto" w:sz="4" w:space="0"/>
              <w:left w:val="nil"/>
              <w:bottom w:val="single" w:color="auto" w:sz="4" w:space="0"/>
              <w:right w:val="single" w:color="auto" w:sz="4" w:space="0"/>
            </w:tcBorders>
            <w:vAlign w:val="center"/>
          </w:tcPr>
          <w:p>
            <w:pPr>
              <w:autoSpaceDE w:val="0"/>
              <w:rPr>
                <w:rFonts w:hint="eastAsia" w:ascii="宋体" w:hAnsi="宋体" w:eastAsia="宋体" w:cs="宋体"/>
                <w:bCs/>
                <w:color w:val="auto"/>
                <w:kern w:val="2"/>
                <w:sz w:val="20"/>
                <w:szCs w:val="20"/>
                <w:lang w:val="en-US" w:eastAsia="zh-CN" w:bidi="ar-SA"/>
              </w:rPr>
            </w:pPr>
            <w:r>
              <w:rPr>
                <w:rFonts w:hint="eastAsia" w:ascii="宋体" w:hAnsi="宋体"/>
                <w:bCs/>
                <w:color w:val="auto"/>
                <w:sz w:val="20"/>
                <w:szCs w:val="20"/>
                <w:lang w:eastAsia="zh-CN"/>
              </w:rPr>
              <w:t>银川市人力资源社会保障局</w:t>
            </w:r>
          </w:p>
        </w:tc>
        <w:tc>
          <w:tcPr>
            <w:tcW w:w="773" w:type="dxa"/>
            <w:tcBorders>
              <w:top w:val="single" w:color="auto" w:sz="4" w:space="0"/>
              <w:left w:val="nil"/>
              <w:bottom w:val="single" w:color="auto" w:sz="4" w:space="0"/>
              <w:right w:val="single" w:color="auto" w:sz="4" w:space="0"/>
            </w:tcBorders>
            <w:vAlign w:val="center"/>
          </w:tcPr>
          <w:p>
            <w:pPr>
              <w:autoSpaceDE w:val="0"/>
              <w:rPr>
                <w:rFonts w:hint="eastAsia" w:ascii="宋体" w:hAnsi="宋体"/>
                <w:bCs/>
                <w:color w:val="auto"/>
                <w:sz w:val="20"/>
                <w:szCs w:val="20"/>
                <w:lang w:eastAsia="zh-CN"/>
              </w:rPr>
            </w:pPr>
            <w:r>
              <w:rPr>
                <w:rFonts w:hint="eastAsia" w:ascii="宋体" w:hAnsi="宋体" w:cs="宋体"/>
                <w:bCs/>
                <w:color w:val="auto"/>
                <w:kern w:val="2"/>
                <w:sz w:val="20"/>
                <w:szCs w:val="20"/>
                <w:lang w:val="en-US" w:eastAsia="zh-CN" w:bidi="ar-SA"/>
              </w:rPr>
              <w:t>兴庆区各街道办事处</w:t>
            </w:r>
          </w:p>
        </w:tc>
        <w:tc>
          <w:tcPr>
            <w:tcW w:w="773" w:type="dxa"/>
            <w:tcBorders>
              <w:top w:val="single" w:color="auto" w:sz="4" w:space="0"/>
              <w:left w:val="nil"/>
              <w:bottom w:val="single" w:color="auto" w:sz="4" w:space="0"/>
              <w:right w:val="single" w:color="auto" w:sz="4" w:space="0"/>
            </w:tcBorders>
            <w:vAlign w:val="center"/>
          </w:tcPr>
          <w:p>
            <w:pPr>
              <w:autoSpaceDE w:val="0"/>
              <w:rPr>
                <w:rFonts w:hint="eastAsia" w:ascii="宋体" w:hAnsi="宋体" w:eastAsia="宋体" w:cs="宋体"/>
                <w:bCs/>
                <w:color w:val="auto"/>
                <w:kern w:val="2"/>
                <w:sz w:val="20"/>
                <w:szCs w:val="20"/>
                <w:lang w:val="en-US" w:eastAsia="zh-CN" w:bidi="ar-SA"/>
              </w:rPr>
            </w:pPr>
            <w:r>
              <w:rPr>
                <w:rFonts w:hint="eastAsia" w:ascii="宋体" w:hAnsi="宋体"/>
                <w:color w:val="auto"/>
                <w:spacing w:val="0"/>
                <w:sz w:val="20"/>
                <w:szCs w:val="20"/>
                <w:lang w:val="en-US" w:eastAsia="zh-CN"/>
              </w:rPr>
              <w:t>民生服务中心（退役军人服务站）</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_GBK">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804A71"/>
    <w:multiLevelType w:val="singleLevel"/>
    <w:tmpl w:val="D0804A71"/>
    <w:lvl w:ilvl="0" w:tentative="0">
      <w:start w:val="8"/>
      <w:numFmt w:val="chineseCounting"/>
      <w:suff w:val="nothing"/>
      <w:lvlText w:val="（%1）"/>
      <w:lvlJc w:val="left"/>
      <w:rPr>
        <w:rFonts w:hint="eastAsia"/>
      </w:rPr>
    </w:lvl>
  </w:abstractNum>
  <w:abstractNum w:abstractNumId="1">
    <w:nsid w:val="5F8AB9A4"/>
    <w:multiLevelType w:val="singleLevel"/>
    <w:tmpl w:val="5F8AB9A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353BD"/>
    <w:rsid w:val="00724B74"/>
    <w:rsid w:val="0EC93C5B"/>
    <w:rsid w:val="10E40D0F"/>
    <w:rsid w:val="16CA0FAA"/>
    <w:rsid w:val="1CF813ED"/>
    <w:rsid w:val="1DFD7560"/>
    <w:rsid w:val="1FC32FF6"/>
    <w:rsid w:val="23C353BD"/>
    <w:rsid w:val="263E5227"/>
    <w:rsid w:val="2A511719"/>
    <w:rsid w:val="2B3A717B"/>
    <w:rsid w:val="2FFC578A"/>
    <w:rsid w:val="31D34269"/>
    <w:rsid w:val="42C0045F"/>
    <w:rsid w:val="444548CB"/>
    <w:rsid w:val="4680508A"/>
    <w:rsid w:val="48002010"/>
    <w:rsid w:val="48C05992"/>
    <w:rsid w:val="4B571C0C"/>
    <w:rsid w:val="4B8B68FE"/>
    <w:rsid w:val="4CBC361A"/>
    <w:rsid w:val="4D5C302A"/>
    <w:rsid w:val="54A915FB"/>
    <w:rsid w:val="5D05660C"/>
    <w:rsid w:val="650F052E"/>
    <w:rsid w:val="65C9013B"/>
    <w:rsid w:val="74CB78B6"/>
    <w:rsid w:val="76653902"/>
    <w:rsid w:val="76BF01A1"/>
    <w:rsid w:val="7B1B4EBD"/>
    <w:rsid w:val="7C014C12"/>
    <w:rsid w:val="7C3E31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styleId="4">
    <w:name w:val="annotation text"/>
    <w:basedOn w:val="1"/>
    <w:qFormat/>
    <w:uiPriority w:val="0"/>
    <w:pPr>
      <w:jc w:val="left"/>
    </w:pPr>
  </w:style>
  <w:style w:type="paragraph" w:styleId="5">
    <w:name w:val="Body Text Indent"/>
    <w:basedOn w:val="1"/>
    <w:qFormat/>
    <w:uiPriority w:val="0"/>
    <w:pPr>
      <w:spacing w:line="500" w:lineRule="exact"/>
      <w:ind w:firstLine="560" w:firstLineChars="200"/>
    </w:pPr>
    <w:rPr>
      <w:rFonts w:eastAsia="仿宋_GB2312"/>
      <w:sz w:val="28"/>
    </w:rPr>
  </w:style>
  <w:style w:type="paragraph" w:styleId="6">
    <w:name w:val="Body Text First Indent 2"/>
    <w:basedOn w:val="5"/>
    <w:qFormat/>
    <w:uiPriority w:val="0"/>
    <w:pPr>
      <w:spacing w:after="120"/>
      <w:ind w:leftChars="200" w:firstLine="420" w:firstLineChars="200"/>
    </w:pPr>
    <w:rPr>
      <w:rFonts w:ascii="Times New Roman"/>
    </w:rPr>
  </w:style>
  <w:style w:type="paragraph" w:styleId="7">
    <w:name w:val="Title"/>
    <w:basedOn w:val="1"/>
    <w:next w:val="1"/>
    <w:qFormat/>
    <w:uiPriority w:val="0"/>
    <w:pPr>
      <w:spacing w:beforeLines="50" w:after="60"/>
      <w:ind w:firstLine="200" w:firstLineChars="200"/>
      <w:jc w:val="center"/>
      <w:outlineLvl w:val="0"/>
    </w:pPr>
    <w:rPr>
      <w:rFonts w:ascii="Cambria" w:hAnsi="Cambria"/>
      <w:b/>
      <w:bCs/>
      <w:sz w:val="32"/>
      <w:szCs w:val="32"/>
    </w:rPr>
  </w:style>
  <w:style w:type="character" w:styleId="9">
    <w:name w:val="Strong"/>
    <w:basedOn w:val="8"/>
    <w:qFormat/>
    <w:uiPriority w:val="0"/>
    <w:rPr>
      <w:b/>
    </w:rPr>
  </w:style>
  <w:style w:type="paragraph" w:customStyle="1" w:styleId="11">
    <w:name w:val="列出段落1"/>
    <w:basedOn w:val="1"/>
    <w:qFormat/>
    <w:uiPriority w:val="0"/>
    <w:pPr>
      <w:ind w:firstLine="420" w:firstLineChars="200"/>
    </w:pPr>
  </w:style>
  <w:style w:type="character" w:customStyle="1" w:styleId="12">
    <w:name w:val="15"/>
    <w:basedOn w:val="8"/>
    <w:qFormat/>
    <w:uiPriority w:val="0"/>
    <w:rPr>
      <w:rFonts w:hint="default" w:ascii="font-weight : 400" w:hAnsi="font-weight : 400" w:eastAsia="Times New Roman"/>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2021-06-09T08:37:00Z</dcterms:created>
  <dc:creator>兴庆区前进街街道办事处收文员</dc:creator>
  <cp:lastModifiedBy>兴庆区前进街街道办事处收文员</cp:lastModifiedBy>
  <dcterms:modified xsi:type="dcterms:W3CDTF">2021-06-23T08:11:27Z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