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61F6E1">
      <w:pPr>
        <w:spacing w:line="240" w:lineRule="exact"/>
        <w:ind w:firstLine="0" w:firstLineChars="0"/>
        <w:rPr>
          <w:rFonts w:hint="eastAsia" w:ascii="宋体" w:hAnsi="宋体" w:eastAsia="宋体"/>
          <w:b/>
          <w:bCs/>
          <w:sz w:val="28"/>
        </w:rPr>
      </w:pPr>
    </w:p>
    <w:p w14:paraId="70447E45">
      <w:pPr>
        <w:ind w:firstLine="0" w:firstLineChars="0"/>
        <w:rPr>
          <w:rFonts w:hint="eastAsia" w:ascii="仿宋_GB2312" w:cs="Arial"/>
          <w:sz w:val="32"/>
          <w:szCs w:val="32"/>
        </w:rPr>
      </w:pPr>
    </w:p>
    <w:p w14:paraId="29094FB6">
      <w:pPr>
        <w:ind w:firstLine="0" w:firstLineChars="0"/>
        <w:rPr>
          <w:rFonts w:hint="eastAsia" w:ascii="仿宋_GB2312" w:cs="Arial"/>
          <w:sz w:val="32"/>
          <w:szCs w:val="32"/>
        </w:rPr>
      </w:pPr>
    </w:p>
    <w:p w14:paraId="25A28A00">
      <w:pPr>
        <w:ind w:firstLine="0" w:firstLineChars="0"/>
        <w:rPr>
          <w:rFonts w:hint="eastAsia" w:ascii="仿宋_GB2312" w:cs="Arial"/>
          <w:sz w:val="32"/>
          <w:szCs w:val="32"/>
        </w:rPr>
      </w:pPr>
    </w:p>
    <w:p w14:paraId="5A056DE4">
      <w:pPr>
        <w:ind w:firstLine="0" w:firstLineChars="0"/>
        <w:jc w:val="center"/>
        <w:rPr>
          <w:rFonts w:hint="eastAsia" w:ascii="方正小标宋简体" w:hAnsi="宋体" w:eastAsia="方正小标宋简体" w:cs="Arial"/>
          <w:bCs/>
          <w:sz w:val="48"/>
          <w:szCs w:val="48"/>
        </w:rPr>
      </w:pPr>
      <w:r>
        <w:rPr>
          <w:rFonts w:hint="eastAsia" w:ascii="方正小标宋简体" w:hAnsi="宋体" w:eastAsia="方正小标宋简体" w:cs="Arial"/>
          <w:bCs/>
          <w:sz w:val="48"/>
          <w:szCs w:val="48"/>
        </w:rPr>
        <w:t>银川市兴庆区国民经济和社会发展</w:t>
      </w:r>
    </w:p>
    <w:p w14:paraId="05C2850E">
      <w:pPr>
        <w:ind w:firstLine="0" w:firstLineChars="0"/>
        <w:jc w:val="center"/>
        <w:rPr>
          <w:rFonts w:hint="eastAsia" w:ascii="方正小标宋简体" w:hAnsi="宋体" w:eastAsia="方正小标宋简体" w:cs="Arial"/>
          <w:bCs/>
          <w:sz w:val="48"/>
          <w:szCs w:val="48"/>
        </w:rPr>
      </w:pPr>
      <w:r>
        <w:rPr>
          <w:rFonts w:hint="eastAsia" w:ascii="方正小标宋简体" w:hAnsi="宋体" w:eastAsia="方正小标宋简体" w:cs="Arial"/>
          <w:bCs/>
          <w:sz w:val="48"/>
          <w:szCs w:val="48"/>
        </w:rPr>
        <w:t>第十三个五年规划纲要</w:t>
      </w:r>
    </w:p>
    <w:p w14:paraId="0F99B150">
      <w:pPr>
        <w:ind w:left="0" w:leftChars="0" w:firstLine="0" w:firstLineChars="0"/>
        <w:jc w:val="center"/>
        <w:rPr>
          <w:rFonts w:hint="eastAsia" w:ascii="仿宋_GB2312" w:hAnsi="仿宋_GB2312" w:cs="仿宋_GB2312"/>
          <w:color w:val="auto"/>
          <w:sz w:val="32"/>
          <w:szCs w:val="32"/>
          <w:lang w:val="en-US" w:eastAsia="zh-CN"/>
        </w:rPr>
      </w:pPr>
    </w:p>
    <w:p w14:paraId="570EB656">
      <w:pPr>
        <w:ind w:left="0" w:leftChars="0" w:firstLine="0" w:firstLineChars="0"/>
        <w:jc w:val="center"/>
        <w:rPr>
          <w:rFonts w:hint="eastAsia" w:ascii="宋体" w:hAnsi="宋体" w:eastAsia="宋体" w:cs="Arial"/>
          <w:color w:val="auto"/>
          <w:sz w:val="32"/>
          <w:szCs w:val="32"/>
          <w:lang w:eastAsia="zh-CN"/>
        </w:rPr>
      </w:pPr>
      <w:r>
        <w:rPr>
          <w:rFonts w:hint="eastAsia" w:ascii="仿宋_GB2312" w:hAnsi="仿宋_GB2312" w:cs="仿宋_GB2312"/>
          <w:color w:val="auto"/>
          <w:sz w:val="32"/>
          <w:szCs w:val="32"/>
          <w:lang w:val="en-US" w:eastAsia="zh-CN"/>
        </w:rPr>
        <w:t>（修订本</w:t>
      </w:r>
      <w:r>
        <w:rPr>
          <w:rFonts w:hint="eastAsia" w:ascii="宋体" w:hAnsi="宋体" w:eastAsia="宋体" w:cs="Arial"/>
          <w:color w:val="auto"/>
          <w:sz w:val="32"/>
          <w:szCs w:val="32"/>
          <w:lang w:eastAsia="zh-CN"/>
        </w:rPr>
        <w:t>）</w:t>
      </w:r>
    </w:p>
    <w:p w14:paraId="552F2ABF">
      <w:pPr>
        <w:ind w:firstLine="640"/>
        <w:rPr>
          <w:rFonts w:ascii="宋体" w:hAnsi="宋体" w:eastAsia="宋体" w:cs="Arial"/>
          <w:sz w:val="32"/>
          <w:szCs w:val="32"/>
        </w:rPr>
      </w:pPr>
    </w:p>
    <w:p w14:paraId="5C6F8770">
      <w:pPr>
        <w:ind w:firstLine="640"/>
        <w:rPr>
          <w:rFonts w:ascii="宋体" w:hAnsi="宋体" w:eastAsia="宋体" w:cs="Arial"/>
          <w:sz w:val="32"/>
          <w:szCs w:val="32"/>
        </w:rPr>
      </w:pPr>
    </w:p>
    <w:p w14:paraId="6E5CFC36">
      <w:pPr>
        <w:ind w:firstLine="0" w:firstLineChars="0"/>
        <w:rPr>
          <w:rFonts w:hint="eastAsia" w:ascii="宋体" w:hAnsi="宋体" w:eastAsia="宋体" w:cs="Arial"/>
          <w:sz w:val="32"/>
          <w:szCs w:val="32"/>
        </w:rPr>
      </w:pPr>
    </w:p>
    <w:p w14:paraId="00F2924C">
      <w:pPr>
        <w:ind w:firstLine="0" w:firstLineChars="0"/>
        <w:rPr>
          <w:rFonts w:hint="eastAsia" w:ascii="宋体" w:hAnsi="宋体" w:eastAsia="宋体" w:cs="Arial"/>
          <w:sz w:val="32"/>
          <w:szCs w:val="32"/>
        </w:rPr>
      </w:pPr>
    </w:p>
    <w:p w14:paraId="5C76B7B7">
      <w:pPr>
        <w:ind w:firstLine="0" w:firstLineChars="0"/>
        <w:rPr>
          <w:rFonts w:hint="eastAsia" w:ascii="宋体" w:hAnsi="宋体" w:eastAsia="宋体" w:cs="Arial"/>
          <w:sz w:val="32"/>
          <w:szCs w:val="32"/>
        </w:rPr>
      </w:pPr>
    </w:p>
    <w:p w14:paraId="2CFC7392">
      <w:pPr>
        <w:ind w:firstLine="0" w:firstLineChars="0"/>
        <w:rPr>
          <w:rFonts w:hint="eastAsia" w:ascii="宋体" w:hAnsi="宋体" w:eastAsia="宋体" w:cs="Arial"/>
          <w:sz w:val="32"/>
          <w:szCs w:val="32"/>
        </w:rPr>
      </w:pPr>
    </w:p>
    <w:p w14:paraId="20DDADB4">
      <w:pPr>
        <w:ind w:firstLine="0" w:firstLineChars="0"/>
        <w:rPr>
          <w:rFonts w:hint="eastAsia" w:ascii="宋体" w:hAnsi="宋体" w:eastAsia="宋体" w:cs="Arial"/>
          <w:sz w:val="32"/>
          <w:szCs w:val="32"/>
        </w:rPr>
      </w:pPr>
    </w:p>
    <w:p w14:paraId="052D8EF7">
      <w:pPr>
        <w:adjustRightInd w:val="0"/>
        <w:snapToGrid w:val="0"/>
        <w:ind w:firstLine="0" w:firstLineChars="0"/>
        <w:jc w:val="center"/>
        <w:rPr>
          <w:rFonts w:hint="eastAsia" w:ascii="楷体_GB2312" w:eastAsia="楷体_GB2312"/>
          <w:b/>
          <w:sz w:val="36"/>
          <w:szCs w:val="36"/>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588" w:right="1588" w:bottom="1440" w:left="1588" w:header="1021" w:footer="992" w:gutter="0"/>
          <w:cols w:space="720" w:num="1"/>
          <w:docGrid w:type="lines" w:linePitch="460" w:charSpace="0"/>
        </w:sectPr>
      </w:pPr>
      <w:r>
        <w:rPr>
          <w:rFonts w:hint="eastAsia" w:ascii="楷体_GB2312" w:eastAsia="楷体_GB2312"/>
          <w:b/>
          <w:sz w:val="32"/>
          <w:szCs w:val="32"/>
          <w:lang w:val="en-US" w:eastAsia="zh-CN"/>
        </w:rPr>
        <w:t xml:space="preserve"> </w:t>
      </w:r>
    </w:p>
    <w:p w14:paraId="7D2FF7F9">
      <w:pPr>
        <w:pStyle w:val="15"/>
        <w:spacing w:line="240" w:lineRule="exact"/>
        <w:ind w:firstLine="0" w:firstLineChars="0"/>
        <w:jc w:val="both"/>
        <w:rPr>
          <w:rFonts w:hint="eastAsia" w:eastAsia="黑体"/>
          <w:b w:val="0"/>
          <w:sz w:val="44"/>
          <w:szCs w:val="44"/>
        </w:rPr>
      </w:pPr>
      <w:bookmarkStart w:id="0" w:name="_Toc439259844"/>
      <w:bookmarkStart w:id="1" w:name="_Toc439258482"/>
      <w:bookmarkStart w:id="2" w:name="_Toc438133487"/>
      <w:bookmarkStart w:id="3" w:name="_Toc439258224"/>
      <w:bookmarkStart w:id="4" w:name="_Toc438133167"/>
      <w:bookmarkStart w:id="5" w:name="_Toc439358302"/>
    </w:p>
    <w:p w14:paraId="539F0F18">
      <w:pPr>
        <w:pStyle w:val="15"/>
        <w:ind w:firstLine="0" w:firstLineChars="0"/>
        <w:rPr>
          <w:rFonts w:ascii="Times New Roman" w:hAnsi="Times New Roman" w:eastAsia="仿宋_GB2312" w:cs="Times New Roman"/>
          <w:b w:val="0"/>
          <w:sz w:val="28"/>
        </w:rPr>
      </w:pPr>
      <w:r>
        <w:rPr>
          <w:rFonts w:hint="eastAsia" w:eastAsia="黑体"/>
          <w:b w:val="0"/>
          <w:sz w:val="44"/>
          <w:szCs w:val="44"/>
        </w:rPr>
        <w:t>目  录</w:t>
      </w:r>
      <w:bookmarkEnd w:id="0"/>
      <w:bookmarkEnd w:id="1"/>
      <w:bookmarkEnd w:id="2"/>
      <w:bookmarkEnd w:id="3"/>
      <w:bookmarkEnd w:id="4"/>
      <w:bookmarkEnd w:id="5"/>
      <w:r>
        <w:rPr>
          <w:rFonts w:ascii="Times New Roman" w:hAnsi="Times New Roman" w:eastAsia="仿宋_GB2312" w:cs="Times New Roman"/>
          <w:b w:val="0"/>
          <w:bCs/>
          <w:caps/>
          <w:sz w:val="28"/>
        </w:rPr>
        <w:fldChar w:fldCharType="begin"/>
      </w:r>
      <w:r>
        <w:rPr>
          <w:rFonts w:ascii="Times New Roman" w:hAnsi="Times New Roman" w:eastAsia="仿宋_GB2312" w:cs="Times New Roman"/>
          <w:b w:val="0"/>
          <w:bCs/>
          <w:caps/>
          <w:sz w:val="28"/>
        </w:rPr>
        <w:instrText xml:space="preserve"> TOC \o "1-2" \h \z \u </w:instrText>
      </w:r>
      <w:r>
        <w:rPr>
          <w:rFonts w:ascii="Times New Roman" w:hAnsi="Times New Roman" w:eastAsia="仿宋_GB2312" w:cs="Times New Roman"/>
          <w:b w:val="0"/>
          <w:bCs/>
          <w:caps/>
          <w:sz w:val="28"/>
        </w:rPr>
        <w:fldChar w:fldCharType="separate"/>
      </w:r>
    </w:p>
    <w:p w14:paraId="0C80FAF3">
      <w:pPr>
        <w:pStyle w:val="9"/>
        <w:tabs>
          <w:tab w:val="right" w:leader="dot" w:pos="8700"/>
        </w:tabs>
        <w:spacing w:line="560" w:lineRule="exact"/>
        <w:ind w:left="0" w:firstLine="0" w:firstLineChars="0"/>
        <w:rPr>
          <w:rStyle w:val="14"/>
          <w:rFonts w:ascii="Times New Roman" w:hAnsi="Times New Roman" w:eastAsia="黑体" w:cs="Times New Roman"/>
          <w:color w:val="auto"/>
          <w:sz w:val="28"/>
          <w:szCs w:val="28"/>
          <w:u w:val="none"/>
        </w:rPr>
      </w:pPr>
      <w:r>
        <w:rPr>
          <w:rStyle w:val="14"/>
          <w:rFonts w:ascii="Times New Roman" w:hAnsi="Times New Roman" w:eastAsia="黑体" w:cs="Times New Roman"/>
          <w:bCs/>
          <w:color w:val="auto"/>
          <w:sz w:val="28"/>
          <w:szCs w:val="28"/>
          <w:u w:val="none"/>
        </w:rPr>
        <w:t>前  言</w:t>
      </w:r>
      <w:r>
        <w:rPr>
          <w:rStyle w:val="14"/>
          <w:rFonts w:ascii="Times New Roman" w:hAnsi="Times New Roman" w:eastAsia="黑体" w:cs="Times New Roman"/>
          <w:color w:val="auto"/>
          <w:sz w:val="28"/>
          <w:szCs w:val="28"/>
          <w:u w:val="none"/>
        </w:rPr>
        <w:tab/>
      </w:r>
      <w:r>
        <w:rPr>
          <w:rStyle w:val="14"/>
          <w:rFonts w:ascii="Times New Roman" w:hAnsi="Times New Roman" w:eastAsia="黑体" w:cs="Times New Roman"/>
          <w:color w:val="auto"/>
          <w:sz w:val="28"/>
          <w:szCs w:val="28"/>
          <w:u w:val="none"/>
        </w:rPr>
        <w:t>1</w:t>
      </w:r>
    </w:p>
    <w:p w14:paraId="3E4FF28C">
      <w:pPr>
        <w:pStyle w:val="7"/>
        <w:tabs>
          <w:tab w:val="right" w:leader="dot" w:pos="8700"/>
          <w:tab w:val="clear" w:pos="8296"/>
        </w:tabs>
        <w:spacing w:before="0" w:beforeLines="0" w:after="0" w:afterLines="0" w:line="560" w:lineRule="exact"/>
        <w:rPr>
          <w:rFonts w:ascii="Times New Roman" w:hAnsi="Times New Roman" w:eastAsia="黑体" w:cs="Times New Roman"/>
          <w:b w:val="0"/>
          <w:bCs w:val="0"/>
          <w:caps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"_Toc439358303" </w:instrText>
      </w:r>
      <w:r>
        <w:rPr>
          <w:rFonts w:ascii="Times New Roman" w:hAnsi="Times New Roman" w:eastAsia="黑体" w:cs="Times New Roman"/>
          <w:b w:val="0"/>
          <w:sz w:val="28"/>
          <w:szCs w:val="28"/>
        </w:rPr>
        <w:fldChar w:fldCharType="separate"/>
      </w:r>
      <w:r>
        <w:rPr>
          <w:rStyle w:val="14"/>
          <w:rFonts w:ascii="Times New Roman" w:hAnsi="Times New Roman" w:eastAsia="黑体" w:cs="Times New Roman"/>
          <w:b w:val="0"/>
          <w:sz w:val="28"/>
          <w:szCs w:val="28"/>
        </w:rPr>
        <w:t xml:space="preserve">第一章 </w:t>
      </w:r>
      <w:r>
        <w:rPr>
          <w:rStyle w:val="14"/>
          <w:rFonts w:hint="eastAsia" w:ascii="Times New Roman" w:hAnsi="Times New Roman" w:eastAsia="黑体" w:cs="Times New Roman"/>
          <w:b w:val="0"/>
          <w:sz w:val="28"/>
          <w:szCs w:val="28"/>
        </w:rPr>
        <w:t xml:space="preserve"> </w:t>
      </w:r>
      <w:r>
        <w:rPr>
          <w:rStyle w:val="14"/>
          <w:rFonts w:ascii="Times New Roman" w:hAnsi="Times New Roman" w:eastAsia="黑体" w:cs="Times New Roman"/>
          <w:b w:val="0"/>
          <w:sz w:val="28"/>
          <w:szCs w:val="28"/>
        </w:rPr>
        <w:t>现实背景</w:t>
      </w:r>
      <w:r>
        <w:rPr>
          <w:rFonts w:ascii="Times New Roman" w:hAnsi="Times New Roman" w:eastAsia="黑体" w:cs="Times New Roman"/>
          <w:b w:val="0"/>
          <w:sz w:val="28"/>
          <w:szCs w:val="28"/>
        </w:rPr>
        <w:tab/>
      </w:r>
      <w:r>
        <w:rPr>
          <w:rFonts w:ascii="Times New Roman" w:hAnsi="Times New Roman" w:eastAsia="黑体" w:cs="Times New Roman"/>
          <w:b w:val="0"/>
          <w:bCs w:val="0"/>
          <w:sz w:val="28"/>
          <w:szCs w:val="28"/>
        </w:rPr>
        <w:fldChar w:fldCharType="begin"/>
      </w:r>
      <w:r>
        <w:rPr>
          <w:rFonts w:ascii="Times New Roman" w:hAnsi="Times New Roman" w:eastAsia="黑体" w:cs="Times New Roman"/>
          <w:b w:val="0"/>
          <w:bCs w:val="0"/>
          <w:sz w:val="28"/>
          <w:szCs w:val="28"/>
        </w:rPr>
        <w:instrText xml:space="preserve"> PAGEREF _Toc439358303 \h </w:instrText>
      </w:r>
      <w:r>
        <w:rPr>
          <w:rFonts w:ascii="Times New Roman" w:hAnsi="Times New Roman" w:eastAsia="黑体" w:cs="Times New Roman"/>
          <w:b w:val="0"/>
          <w:bCs w:val="0"/>
          <w:sz w:val="28"/>
          <w:szCs w:val="28"/>
        </w:rPr>
        <w:fldChar w:fldCharType="separate"/>
      </w:r>
      <w:r>
        <w:rPr>
          <w:rFonts w:ascii="Times New Roman" w:hAnsi="Times New Roman" w:eastAsia="黑体" w:cs="Times New Roman"/>
          <w:b w:val="0"/>
          <w:bCs w:val="0"/>
          <w:sz w:val="28"/>
          <w:szCs w:val="28"/>
        </w:rPr>
        <w:t>1</w:t>
      </w:r>
      <w:r>
        <w:rPr>
          <w:rFonts w:ascii="Times New Roman" w:hAnsi="Times New Roman" w:eastAsia="黑体" w:cs="Times New Roman"/>
          <w:b w:val="0"/>
          <w:bCs w:val="0"/>
          <w:sz w:val="28"/>
          <w:szCs w:val="28"/>
        </w:rPr>
        <w:fldChar w:fldCharType="end"/>
      </w:r>
      <w:r>
        <w:rPr>
          <w:rFonts w:ascii="Times New Roman" w:hAnsi="Times New Roman" w:eastAsia="黑体" w:cs="Times New Roman"/>
          <w:b w:val="0"/>
          <w:sz w:val="28"/>
          <w:szCs w:val="28"/>
        </w:rPr>
        <w:fldChar w:fldCharType="end"/>
      </w:r>
    </w:p>
    <w:p w14:paraId="3B6FA0FD">
      <w:pPr>
        <w:pStyle w:val="9"/>
        <w:tabs>
          <w:tab w:val="right" w:leader="dot" w:pos="8700"/>
        </w:tabs>
        <w:spacing w:line="560" w:lineRule="exact"/>
        <w:ind w:left="0" w:firstLine="560"/>
        <w:rPr>
          <w:rFonts w:ascii="Times New Roman" w:hAnsi="Times New Roman" w:eastAsia="仿宋_GB2312" w:cs="Times New Roman"/>
          <w:smallCaps w:val="0"/>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"_Toc439358304" </w:instrText>
      </w:r>
      <w:r>
        <w:rPr>
          <w:rFonts w:ascii="Times New Roman" w:hAnsi="Times New Roman" w:eastAsia="仿宋_GB2312" w:cs="Times New Roman"/>
          <w:sz w:val="28"/>
          <w:szCs w:val="28"/>
        </w:rPr>
        <w:fldChar w:fldCharType="separate"/>
      </w:r>
      <w:r>
        <w:rPr>
          <w:rStyle w:val="14"/>
          <w:rFonts w:ascii="Times New Roman" w:hAnsi="Times New Roman" w:eastAsia="仿宋_GB2312" w:cs="Times New Roman"/>
          <w:sz w:val="28"/>
          <w:szCs w:val="28"/>
        </w:rPr>
        <w:t>第一节</w:t>
      </w:r>
      <w:r>
        <w:rPr>
          <w:rStyle w:val="14"/>
          <w:rFonts w:hint="eastAsia" w:ascii="Times New Roman" w:hAnsi="Times New Roman" w:eastAsia="仿宋_GB2312" w:cs="Times New Roman"/>
          <w:sz w:val="28"/>
          <w:szCs w:val="28"/>
        </w:rPr>
        <w:t xml:space="preserve">  </w:t>
      </w:r>
      <w:r>
        <w:rPr>
          <w:rStyle w:val="14"/>
          <w:rFonts w:hint="eastAsia" w:ascii="仿宋_GB2312" w:hAnsi="Times New Roman" w:eastAsia="仿宋_GB2312" w:cs="Times New Roman"/>
          <w:sz w:val="28"/>
          <w:szCs w:val="28"/>
        </w:rPr>
        <w:t>“十二五”</w:t>
      </w:r>
      <w:r>
        <w:rPr>
          <w:rStyle w:val="14"/>
          <w:rFonts w:ascii="Times New Roman" w:hAnsi="Times New Roman" w:eastAsia="仿宋_GB2312" w:cs="Times New Roman"/>
          <w:sz w:val="28"/>
          <w:szCs w:val="28"/>
        </w:rPr>
        <w:t>发展主要成就</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D9F2A4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第二节</w:t>
      </w:r>
      <w:r>
        <w:rPr>
          <w:rFonts w:hint="eastAsia" w:ascii="仿宋_GB2312" w:hAnsi="Times New Roman" w:eastAsia="仿宋_GB2312" w:cs="Times New Roman"/>
          <w:sz w:val="28"/>
          <w:szCs w:val="28"/>
        </w:rPr>
        <w:t xml:space="preserve">  “十三五”</w:t>
      </w:r>
      <w:r>
        <w:rPr>
          <w:rFonts w:ascii="Times New Roman" w:hAnsi="Times New Roman" w:eastAsia="仿宋_GB2312" w:cs="Times New Roman"/>
          <w:sz w:val="28"/>
          <w:szCs w:val="28"/>
        </w:rPr>
        <w:t>面临机遇与挑战</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F248F87">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"_Toc439358306"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第二章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总体战略</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_Toc439358306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7</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2D704D17">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第一节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指导思想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41B2D87">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"_Toc439358308"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战略定位</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CE4A1CF">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"_Toc439358309"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第三节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发展目标</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_Toc439358309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01C98B3">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"_Toc439358310"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第三章</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产业体系与产业布局</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_Toc439358310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12</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0725C734">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"_Toc439358311"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构建现代产业体系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81A66C9">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"_Toc439358312"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第二节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优化产业发展布局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D47C6EA">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"_Toc439358313"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第四章</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高端引领，打造现代服务业示范区</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_Toc439358313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14</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63C40D2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推进商贸物流带转型升级</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67E61A3">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加快建设区域物流中心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F54B99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"_Toc439358316"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改造升级新华商圈</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628DFBA">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第四节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培育发展通航产业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19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E25EC5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"_Toc439358318"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第五节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提升亮点发展旅游业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_Toc439358318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588307A">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"_Toc439358319"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第六节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以科技助推文化创意产业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_Toc439358319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A7F812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"_Toc439358320"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第七节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推动发展电子商务产业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2CDF69ED">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"_Toc439358321"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第八节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大力发展现代金融业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5A5D72C2">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"_Toc439358322"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第五章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创新驱动，推进一二产业转型升级</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_Toc439358322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26</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5E108EB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"_Toc439358323"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第一节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推进创新发展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2690B71">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加快农业现代化</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27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D147C1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推进新型工业发展</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E1ACEBA">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"_Toc439358326"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第六章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统筹兼顾，促进城乡社会协调发展</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_Toc439358326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31</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5BA3EE34">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优化城乡空间布局</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A50E755">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"_Toc439358328"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完善基础设施建设</w:t>
      </w:r>
      <w:r>
        <w:rPr>
          <w:rFonts w:ascii="Times New Roman" w:hAnsi="Times New Roman" w:eastAsia="仿宋_GB2312" w:cs="Times New Roman"/>
          <w:sz w:val="28"/>
          <w:szCs w:val="28"/>
        </w:rPr>
        <w:tab/>
      </w:r>
      <w:r>
        <w:rPr>
          <w:rFonts w:hint="eastAsia" w:ascii="Times New Roman" w:hAnsi="Times New Roman" w:eastAsia="仿宋_GB2312" w:cs="Times New Roman"/>
          <w:sz w:val="28"/>
          <w:szCs w:val="28"/>
        </w:rPr>
        <w:t>33</w:t>
      </w:r>
      <w:r>
        <w:rPr>
          <w:rFonts w:ascii="Times New Roman" w:hAnsi="Times New Roman" w:eastAsia="仿宋_GB2312" w:cs="Times New Roman"/>
          <w:sz w:val="28"/>
          <w:szCs w:val="28"/>
        </w:rPr>
        <w:fldChar w:fldCharType="end"/>
      </w:r>
    </w:p>
    <w:p w14:paraId="212E4643">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"_Toc439358329"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打造绿色生态环境</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_Toc439358329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35</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BAE21EA">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"_Toc439358330"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第四节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深化精准扶贫攻坚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36</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D71E326">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"_Toc439358331"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第七章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共建共享，构筑美好和谐社会</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_Toc439358331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38</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3B3EBD30">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"_Toc439358332"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推进教育现代化</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_Toc439358332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6732639">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"_Toc439358333"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w:t>
      </w:r>
      <w:r>
        <w:rPr>
          <w:rFonts w:hint="eastAsia" w:ascii="仿宋_GB2312" w:hAnsi="Times New Roman" w:eastAsia="仿宋_GB2312" w:cs="Times New Roman"/>
          <w:sz w:val="28"/>
          <w:szCs w:val="28"/>
        </w:rPr>
        <w:t>“健康兴庆”</w:t>
      </w:r>
      <w:r>
        <w:rPr>
          <w:rFonts w:ascii="Times New Roman" w:hAnsi="Times New Roman" w:eastAsia="仿宋_GB2312" w:cs="Times New Roman"/>
          <w:sz w:val="28"/>
          <w:szCs w:val="28"/>
        </w:rPr>
        <w:t>建设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39</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7DB24FF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繁荣文化体育事业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41</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D90D175">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第四节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全力促进就业创业</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66DB2F2C">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"_Toc439358336"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第五节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完善社会保障体系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_Toc439358336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43</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E4FB65E">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"_Toc439358337"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第六节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提高社会治理水平</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_Toc439358337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44</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46B45006">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"_Toc439358338"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第八章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改革开放，优化提升发展环境</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_Toc439358338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47</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45A346D2">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"_Toc439358339"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第一节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深化改革开放</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_Toc439358339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47</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306C710">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"_Toc439358340"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推进依法治区</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_Toc439358340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0AD9FD1">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"_Toc439358341"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第三节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完善社会信用体系</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_Toc439358341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48</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A733FAE">
      <w:pPr>
        <w:pStyle w:val="7"/>
        <w:tabs>
          <w:tab w:val="right" w:leader="dot" w:pos="8700"/>
          <w:tab w:val="clear" w:pos="8296"/>
        </w:tabs>
        <w:spacing w:before="0" w:beforeLines="0" w:after="0" w:afterLines="0" w:line="560" w:lineRule="exact"/>
        <w:rPr>
          <w:rFonts w:ascii="Times New Roman" w:hAnsi="Times New Roman" w:eastAsia="黑体" w:cs="Times New Roman"/>
          <w:b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"_Toc439358342"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 xml:space="preserve">第九章 </w:t>
      </w:r>
      <w:r>
        <w:rPr>
          <w:rFonts w:hint="eastAsia" w:ascii="Times New Roman" w:hAnsi="Times New Roman" w:eastAsia="黑体" w:cs="Times New Roman"/>
          <w:b w:val="0"/>
          <w:sz w:val="28"/>
          <w:szCs w:val="28"/>
        </w:rPr>
        <w:t xml:space="preserve"> </w:t>
      </w:r>
      <w:r>
        <w:rPr>
          <w:rFonts w:ascii="Times New Roman" w:hAnsi="Times New Roman" w:eastAsia="黑体" w:cs="Times New Roman"/>
          <w:b w:val="0"/>
          <w:sz w:val="28"/>
          <w:szCs w:val="28"/>
        </w:rPr>
        <w:t>凝心聚力，实现发展宏伟蓝图</w:t>
      </w:r>
      <w:r>
        <w:rPr>
          <w:rFonts w:ascii="Times New Roman" w:hAnsi="Times New Roman" w:eastAsia="黑体" w:cs="Times New Roman"/>
          <w:b w:val="0"/>
          <w:sz w:val="28"/>
          <w:szCs w:val="28"/>
        </w:rPr>
        <w:tab/>
      </w: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 PAGEREF _Toc439358342 \h </w:instrText>
      </w:r>
      <w:r>
        <w:rPr>
          <w:rFonts w:ascii="Times New Roman" w:hAnsi="Times New Roman" w:eastAsia="黑体" w:cs="Times New Roman"/>
          <w:b w:val="0"/>
          <w:sz w:val="28"/>
          <w:szCs w:val="28"/>
        </w:rPr>
        <w:fldChar w:fldCharType="separate"/>
      </w:r>
      <w:r>
        <w:rPr>
          <w:rFonts w:ascii="Times New Roman" w:hAnsi="Times New Roman" w:eastAsia="黑体" w:cs="Times New Roman"/>
          <w:b w:val="0"/>
          <w:sz w:val="28"/>
          <w:szCs w:val="28"/>
        </w:rPr>
        <w:t>50</w:t>
      </w:r>
      <w:r>
        <w:rPr>
          <w:rFonts w:ascii="Times New Roman" w:hAnsi="Times New Roman" w:eastAsia="黑体" w:cs="Times New Roman"/>
          <w:b w:val="0"/>
          <w:sz w:val="28"/>
          <w:szCs w:val="28"/>
        </w:rPr>
        <w:fldChar w:fldCharType="end"/>
      </w:r>
      <w:r>
        <w:rPr>
          <w:rFonts w:ascii="Times New Roman" w:hAnsi="Times New Roman" w:eastAsia="黑体" w:cs="Times New Roman"/>
          <w:b w:val="0"/>
          <w:sz w:val="28"/>
          <w:szCs w:val="28"/>
        </w:rPr>
        <w:fldChar w:fldCharType="end"/>
      </w:r>
    </w:p>
    <w:p w14:paraId="3719470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"_Toc439358343"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第一节</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 xml:space="preserve"> 强化党的领导</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_Toc439358343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1DEC2B06">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"_Toc439358344"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第二节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强化人才保障</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_Toc439358344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50</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05A41D5B">
      <w:pPr>
        <w:pStyle w:val="9"/>
        <w:tabs>
          <w:tab w:val="right" w:leader="dot" w:pos="8700"/>
        </w:tabs>
        <w:spacing w:line="560" w:lineRule="exact"/>
        <w:ind w:left="0" w:firstLine="560"/>
        <w:rPr>
          <w:rFonts w:ascii="Times New Roman" w:hAnsi="Times New Roman" w:eastAsia="仿宋_GB2312" w:cs="Times New Roman"/>
          <w:sz w:val="28"/>
          <w:szCs w:val="28"/>
        </w:rPr>
      </w:pP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HYPERLINK  \l "_Toc439358345"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 xml:space="preserve">第三节 </w:t>
      </w:r>
      <w:r>
        <w:rPr>
          <w:rFonts w:hint="eastAsia" w:ascii="Times New Roman" w:hAnsi="Times New Roman" w:eastAsia="仿宋_GB2312" w:cs="Times New Roman"/>
          <w:sz w:val="28"/>
          <w:szCs w:val="28"/>
        </w:rPr>
        <w:t xml:space="preserve"> </w:t>
      </w:r>
      <w:r>
        <w:rPr>
          <w:rFonts w:ascii="Times New Roman" w:hAnsi="Times New Roman" w:eastAsia="仿宋_GB2312" w:cs="Times New Roman"/>
          <w:sz w:val="28"/>
          <w:szCs w:val="28"/>
        </w:rPr>
        <w:t>强化规划实施管理</w:t>
      </w:r>
      <w:r>
        <w:rPr>
          <w:rFonts w:ascii="Times New Roman" w:hAnsi="Times New Roman" w:eastAsia="仿宋_GB2312" w:cs="Times New Roman"/>
          <w:sz w:val="28"/>
          <w:szCs w:val="28"/>
        </w:rPr>
        <w:tab/>
      </w:r>
      <w:r>
        <w:rPr>
          <w:rFonts w:ascii="Times New Roman" w:hAnsi="Times New Roman" w:eastAsia="仿宋_GB2312" w:cs="Times New Roman"/>
          <w:sz w:val="28"/>
          <w:szCs w:val="28"/>
        </w:rPr>
        <w:fldChar w:fldCharType="begin"/>
      </w:r>
      <w:r>
        <w:rPr>
          <w:rFonts w:ascii="Times New Roman" w:hAnsi="Times New Roman" w:eastAsia="仿宋_GB2312" w:cs="Times New Roman"/>
          <w:sz w:val="28"/>
          <w:szCs w:val="28"/>
        </w:rPr>
        <w:instrText xml:space="preserve"> PAGEREF _Toc439358345 \h </w:instrText>
      </w:r>
      <w:r>
        <w:rPr>
          <w:rFonts w:ascii="Times New Roman" w:hAnsi="Times New Roman" w:eastAsia="仿宋_GB2312" w:cs="Times New Roman"/>
          <w:sz w:val="28"/>
          <w:szCs w:val="28"/>
        </w:rPr>
        <w:fldChar w:fldCharType="separate"/>
      </w:r>
      <w:r>
        <w:rPr>
          <w:rFonts w:ascii="Times New Roman" w:hAnsi="Times New Roman" w:eastAsia="仿宋_GB2312" w:cs="Times New Roman"/>
          <w:sz w:val="28"/>
          <w:szCs w:val="28"/>
        </w:rPr>
        <w:t>52</w:t>
      </w:r>
      <w:r>
        <w:rPr>
          <w:rFonts w:ascii="Times New Roman" w:hAnsi="Times New Roman" w:eastAsia="仿宋_GB2312" w:cs="Times New Roman"/>
          <w:sz w:val="28"/>
          <w:szCs w:val="28"/>
        </w:rPr>
        <w:fldChar w:fldCharType="end"/>
      </w:r>
      <w:r>
        <w:rPr>
          <w:rFonts w:ascii="Times New Roman" w:hAnsi="Times New Roman" w:eastAsia="仿宋_GB2312" w:cs="Times New Roman"/>
          <w:sz w:val="28"/>
          <w:szCs w:val="28"/>
        </w:rPr>
        <w:fldChar w:fldCharType="end"/>
      </w:r>
    </w:p>
    <w:p w14:paraId="3C7D49B1">
      <w:pPr>
        <w:pStyle w:val="7"/>
        <w:tabs>
          <w:tab w:val="right" w:leader="dot" w:pos="8700"/>
          <w:tab w:val="clear" w:pos="8296"/>
        </w:tabs>
        <w:spacing w:before="0" w:beforeLines="0" w:after="0" w:afterLines="0" w:line="560" w:lineRule="exact"/>
        <w:rPr>
          <w:rFonts w:ascii="Times New Roman" w:hAnsi="Times New Roman" w:eastAsia="黑体" w:cs="Times New Roman"/>
          <w:b w:val="0"/>
          <w:bCs w:val="0"/>
          <w:caps w:val="0"/>
          <w:sz w:val="28"/>
          <w:szCs w:val="28"/>
        </w:rPr>
      </w:pPr>
      <w:r>
        <w:rPr>
          <w:rFonts w:ascii="Times New Roman" w:hAnsi="Times New Roman" w:eastAsia="黑体" w:cs="Times New Roman"/>
          <w:b w:val="0"/>
          <w:sz w:val="28"/>
          <w:szCs w:val="28"/>
        </w:rPr>
        <w:fldChar w:fldCharType="begin"/>
      </w:r>
      <w:r>
        <w:rPr>
          <w:rFonts w:ascii="Times New Roman" w:hAnsi="Times New Roman" w:eastAsia="黑体" w:cs="Times New Roman"/>
          <w:b w:val="0"/>
          <w:sz w:val="28"/>
          <w:szCs w:val="28"/>
        </w:rPr>
        <w:instrText xml:space="preserve">HYPERLINK  \l "_Toc439358346" </w:instrText>
      </w:r>
      <w:r>
        <w:rPr>
          <w:rFonts w:ascii="Times New Roman" w:hAnsi="Times New Roman" w:eastAsia="黑体" w:cs="Times New Roman"/>
          <w:b w:val="0"/>
          <w:sz w:val="28"/>
          <w:szCs w:val="28"/>
        </w:rPr>
        <w:fldChar w:fldCharType="separate"/>
      </w:r>
      <w:r>
        <w:rPr>
          <w:rStyle w:val="14"/>
          <w:rFonts w:ascii="Times New Roman" w:hAnsi="Times New Roman" w:eastAsia="黑体" w:cs="Times New Roman"/>
          <w:b w:val="0"/>
          <w:sz w:val="28"/>
          <w:szCs w:val="28"/>
        </w:rPr>
        <w:t>附录：图与专栏目录</w:t>
      </w:r>
      <w:r>
        <w:rPr>
          <w:rFonts w:ascii="Times New Roman" w:hAnsi="Times New Roman" w:eastAsia="黑体" w:cs="Times New Roman"/>
          <w:b w:val="0"/>
          <w:sz w:val="28"/>
          <w:szCs w:val="28"/>
        </w:rPr>
        <w:tab/>
      </w:r>
      <w:r>
        <w:rPr>
          <w:rFonts w:ascii="Times New Roman" w:hAnsi="Times New Roman" w:eastAsia="黑体" w:cs="Times New Roman"/>
          <w:b w:val="0"/>
          <w:bCs w:val="0"/>
          <w:sz w:val="28"/>
          <w:szCs w:val="28"/>
        </w:rPr>
        <w:fldChar w:fldCharType="begin"/>
      </w:r>
      <w:r>
        <w:rPr>
          <w:rFonts w:ascii="Times New Roman" w:hAnsi="Times New Roman" w:eastAsia="黑体" w:cs="Times New Roman"/>
          <w:b w:val="0"/>
          <w:bCs w:val="0"/>
          <w:sz w:val="28"/>
          <w:szCs w:val="28"/>
        </w:rPr>
        <w:instrText xml:space="preserve"> PAGEREF _Toc439358346 \h </w:instrText>
      </w:r>
      <w:r>
        <w:rPr>
          <w:rFonts w:ascii="Times New Roman" w:hAnsi="Times New Roman" w:eastAsia="黑体" w:cs="Times New Roman"/>
          <w:b w:val="0"/>
          <w:bCs w:val="0"/>
          <w:sz w:val="28"/>
          <w:szCs w:val="28"/>
        </w:rPr>
        <w:fldChar w:fldCharType="separate"/>
      </w:r>
      <w:r>
        <w:rPr>
          <w:rFonts w:ascii="Times New Roman" w:hAnsi="Times New Roman" w:eastAsia="黑体" w:cs="Times New Roman"/>
          <w:b w:val="0"/>
          <w:bCs w:val="0"/>
          <w:sz w:val="28"/>
          <w:szCs w:val="28"/>
        </w:rPr>
        <w:t>54</w:t>
      </w:r>
      <w:r>
        <w:rPr>
          <w:rFonts w:ascii="Times New Roman" w:hAnsi="Times New Roman" w:eastAsia="黑体" w:cs="Times New Roman"/>
          <w:b w:val="0"/>
          <w:bCs w:val="0"/>
          <w:sz w:val="28"/>
          <w:szCs w:val="28"/>
        </w:rPr>
        <w:fldChar w:fldCharType="end"/>
      </w:r>
      <w:r>
        <w:rPr>
          <w:rFonts w:ascii="Times New Roman" w:hAnsi="Times New Roman" w:eastAsia="黑体" w:cs="Times New Roman"/>
          <w:b w:val="0"/>
          <w:sz w:val="28"/>
          <w:szCs w:val="28"/>
        </w:rPr>
        <w:fldChar w:fldCharType="end"/>
      </w:r>
    </w:p>
    <w:p w14:paraId="4658D4CD">
      <w:pPr>
        <w:ind w:firstLine="0" w:firstLineChars="0"/>
      </w:pPr>
      <w:r>
        <w:rPr>
          <w:rFonts w:ascii="Times New Roman" w:hAnsi="Times New Roman" w:cs="Times New Roman"/>
          <w:bCs/>
          <w:caps/>
          <w:sz w:val="28"/>
          <w:szCs w:val="28"/>
        </w:rPr>
        <w:fldChar w:fldCharType="end"/>
      </w:r>
    </w:p>
    <w:p w14:paraId="49ACC2A2">
      <w:pPr>
        <w:ind w:firstLine="198" w:firstLineChars="66"/>
        <w:sectPr>
          <w:headerReference r:id="rId13" w:type="first"/>
          <w:footerReference r:id="rId16" w:type="first"/>
          <w:headerReference r:id="rId11" w:type="default"/>
          <w:footerReference r:id="rId14" w:type="default"/>
          <w:headerReference r:id="rId12" w:type="even"/>
          <w:footerReference r:id="rId15" w:type="even"/>
          <w:pgSz w:w="11906" w:h="16838"/>
          <w:pgMar w:top="1588" w:right="1588" w:bottom="1440" w:left="1588" w:header="1021" w:footer="964" w:gutter="0"/>
          <w:pgNumType w:fmt="upperRoman" w:start="1"/>
          <w:cols w:space="720" w:num="1"/>
          <w:docGrid w:type="lines" w:linePitch="460" w:charSpace="0"/>
        </w:sectPr>
      </w:pPr>
    </w:p>
    <w:p w14:paraId="5425AD4D">
      <w:pPr>
        <w:spacing w:before="312" w:beforeLines="100" w:after="312" w:afterLines="100" w:line="520" w:lineRule="exact"/>
        <w:ind w:firstLine="0" w:firstLineChars="0"/>
        <w:jc w:val="center"/>
        <w:rPr>
          <w:rFonts w:hint="eastAsia" w:eastAsia="黑体" w:cs="仿宋"/>
          <w:sz w:val="32"/>
          <w:szCs w:val="32"/>
        </w:rPr>
      </w:pPr>
      <w:r>
        <w:rPr>
          <w:rFonts w:hint="eastAsia" w:eastAsia="黑体" w:cs="宋体"/>
          <w:bCs/>
          <w:sz w:val="44"/>
          <w:szCs w:val="44"/>
        </w:rPr>
        <w:t>前  言</w:t>
      </w:r>
    </w:p>
    <w:p w14:paraId="7F97DB93">
      <w:pPr>
        <w:widowControl/>
        <w:spacing w:line="530" w:lineRule="exact"/>
        <w:ind w:firstLine="616"/>
        <w:rPr>
          <w:rFonts w:hint="eastAsia" w:ascii="仿宋_GB2312" w:hAnsi="Times New Roman" w:cs="Times New Roman"/>
          <w:spacing w:val="4"/>
          <w:kern w:val="0"/>
          <w:szCs w:val="30"/>
        </w:rPr>
      </w:pPr>
      <w:r>
        <w:rPr>
          <w:rFonts w:hint="eastAsia" w:ascii="仿宋_GB2312" w:hAnsi="Times New Roman" w:cs="Times New Roman"/>
          <w:spacing w:val="4"/>
          <w:kern w:val="0"/>
          <w:szCs w:val="30"/>
        </w:rPr>
        <w:t>《兴庆区国民经济和社会发展“十三五”规划纲要》，是贯彻落实党的十八大提出全面建成小康社会奋斗目标，全力打好收官期攻坚战的综合规划；是遵照中央“三大战略”和“四个全面”总体部署，全面推进宁夏内陆开放型经济试验区核心区创新发展的引领规划；是按照自治区“</w:t>
      </w:r>
      <w:r>
        <w:rPr>
          <w:rFonts w:hint="eastAsia" w:ascii="仿宋_GB2312" w:hAnsi="Times New Roman" w:cs="Times New Roman"/>
          <w:spacing w:val="4"/>
          <w:kern w:val="0"/>
          <w:szCs w:val="30"/>
          <w:lang w:eastAsia="zh-CN"/>
        </w:rPr>
        <w:t>经济繁荣、民族团结、环境优美、人民富裕</w:t>
      </w:r>
      <w:r>
        <w:rPr>
          <w:rFonts w:hint="eastAsia" w:ascii="仿宋_GB2312" w:hAnsi="Times New Roman" w:cs="Times New Roman"/>
          <w:spacing w:val="4"/>
          <w:kern w:val="0"/>
          <w:szCs w:val="30"/>
        </w:rPr>
        <w:t>”建设目标与宁夏空间发展战略要求，着力推动产城融合、绿色发展的转型规划；是根据银川市现代化、国际化的发展方向，积极推进兴庆区开放内涵式发展的重要规划。</w:t>
      </w:r>
    </w:p>
    <w:p w14:paraId="2FAB485D">
      <w:pPr>
        <w:widowControl/>
        <w:spacing w:line="530" w:lineRule="exact"/>
        <w:ind w:firstLine="600"/>
        <w:rPr>
          <w:rFonts w:hint="eastAsia" w:ascii="仿宋_GB2312" w:hAnsi="Times New Roman" w:cs="Times New Roman"/>
          <w:kern w:val="0"/>
          <w:szCs w:val="30"/>
        </w:rPr>
      </w:pPr>
      <w:r>
        <w:rPr>
          <w:rFonts w:hint="eastAsia" w:ascii="仿宋_GB2312" w:hAnsi="Times New Roman" w:cs="Times New Roman"/>
          <w:kern w:val="0"/>
          <w:szCs w:val="30"/>
        </w:rPr>
        <w:t>本《规划纲要》认真落实“四个全面”战略布局，坚持“创新、协调、绿色、开放、共享”发展理念，按照自治区党委十一届七次全会及市委十三届六次全会部署，以提高经济发展质量和效益为中心，以创新争先、转型领先为主线，培育经济增长新动能，提升经济发展新形势，加快城镇化、信息化、农业现代化进程，加快形成以现代服务业为核心的新型产业体系，统筹推进经济、政治、文化、社会、生态文明建设，</w:t>
      </w:r>
      <w:r>
        <w:rPr>
          <w:rFonts w:hint="eastAsia" w:ascii="仿宋_GB2312" w:hAnsi="Times New Roman" w:cs="Times New Roman"/>
          <w:kern w:val="0"/>
          <w:szCs w:val="30"/>
          <w:lang w:eastAsia="zh-CN"/>
        </w:rPr>
        <w:t>确保与全国同步建成全面小康社会</w:t>
      </w:r>
      <w:r>
        <w:rPr>
          <w:rFonts w:hint="eastAsia" w:ascii="仿宋_GB2312" w:hAnsi="Times New Roman" w:cs="Times New Roman"/>
          <w:kern w:val="0"/>
          <w:szCs w:val="30"/>
        </w:rPr>
        <w:t>。</w:t>
      </w:r>
    </w:p>
    <w:p w14:paraId="683387C3">
      <w:pPr>
        <w:widowControl/>
        <w:spacing w:line="530" w:lineRule="exact"/>
        <w:ind w:firstLine="600"/>
        <w:rPr>
          <w:rFonts w:hint="eastAsia" w:ascii="仿宋_GB2312" w:hAnsi="Times New Roman" w:cs="Times New Roman"/>
          <w:kern w:val="0"/>
          <w:szCs w:val="30"/>
        </w:rPr>
      </w:pPr>
      <w:r>
        <w:rPr>
          <w:rFonts w:hint="eastAsia" w:ascii="仿宋_GB2312" w:hAnsi="Times New Roman" w:cs="Times New Roman"/>
          <w:kern w:val="0"/>
          <w:szCs w:val="30"/>
        </w:rPr>
        <w:t>这是新时期和新的历史条件下，兴庆区经济社会转型发展的宏伟蓝图，是未来五年统筹兴庆区各级各领域协调发展的行动纲领。兴庆区各级党组织和干部群众要切实增强责任感和紧迫感，紧密团结在以习近平同志为</w:t>
      </w:r>
      <w:r>
        <w:rPr>
          <w:rFonts w:hint="eastAsia" w:ascii="仿宋_GB2312" w:hAnsi="Times New Roman" w:cs="Times New Roman"/>
          <w:kern w:val="0"/>
          <w:szCs w:val="30"/>
          <w:lang w:eastAsia="zh-CN"/>
        </w:rPr>
        <w:t>核心</w:t>
      </w:r>
      <w:r>
        <w:rPr>
          <w:rFonts w:hint="eastAsia" w:ascii="仿宋_GB2312" w:hAnsi="Times New Roman" w:cs="Times New Roman"/>
          <w:kern w:val="0"/>
          <w:szCs w:val="30"/>
        </w:rPr>
        <w:t>的党中央周围，认真贯彻落实中央“四个全面”战略布局、自治区党委、市委和兴庆区委重大决策部署，坚定信心、求真务实、开拓进取、砥砺前行，为</w:t>
      </w:r>
      <w:r>
        <w:rPr>
          <w:rFonts w:hint="eastAsia" w:ascii="仿宋_GB2312" w:hAnsi="Times New Roman" w:cs="Times New Roman"/>
          <w:kern w:val="0"/>
          <w:szCs w:val="30"/>
          <w:lang w:eastAsia="zh-CN"/>
        </w:rPr>
        <w:t>实现</w:t>
      </w:r>
      <w:r>
        <w:rPr>
          <w:rFonts w:hint="eastAsia" w:ascii="仿宋_GB2312" w:hAnsi="Times New Roman" w:cs="Times New Roman"/>
          <w:spacing w:val="4"/>
          <w:kern w:val="0"/>
          <w:szCs w:val="30"/>
          <w:lang w:eastAsia="zh-CN"/>
        </w:rPr>
        <w:t>经济繁荣、民族团结、环境优美、人民富裕</w:t>
      </w:r>
      <w:r>
        <w:rPr>
          <w:rFonts w:hint="eastAsia" w:ascii="仿宋_GB2312" w:hAnsi="Times New Roman" w:cs="Times New Roman"/>
          <w:kern w:val="0"/>
          <w:szCs w:val="30"/>
        </w:rPr>
        <w:t>，</w:t>
      </w:r>
      <w:r>
        <w:rPr>
          <w:rFonts w:hint="eastAsia" w:ascii="仿宋_GB2312" w:hAnsi="Times New Roman" w:cs="Times New Roman"/>
          <w:kern w:val="0"/>
          <w:szCs w:val="30"/>
          <w:lang w:eastAsia="zh-CN"/>
        </w:rPr>
        <w:t>确保与全国同步建成全面小康社会</w:t>
      </w:r>
      <w:r>
        <w:rPr>
          <w:rFonts w:hint="eastAsia" w:ascii="仿宋_GB2312" w:hAnsi="Times New Roman" w:cs="Times New Roman"/>
          <w:kern w:val="0"/>
          <w:szCs w:val="30"/>
        </w:rPr>
        <w:t>而努力奋斗！</w:t>
      </w:r>
    </w:p>
    <w:p w14:paraId="5188FC69">
      <w:pPr>
        <w:widowControl/>
        <w:spacing w:line="530" w:lineRule="exact"/>
        <w:ind w:firstLine="600"/>
        <w:rPr>
          <w:rFonts w:hint="eastAsia" w:ascii="仿宋_GB2312" w:hAnsi="Times New Roman" w:cs="Times New Roman"/>
          <w:kern w:val="0"/>
          <w:szCs w:val="30"/>
        </w:rPr>
        <w:sectPr>
          <w:footerReference r:id="rId17" w:type="default"/>
          <w:pgSz w:w="11906" w:h="16838"/>
          <w:pgMar w:top="1588" w:right="1588" w:bottom="1440" w:left="1588" w:header="1021" w:footer="1077" w:gutter="0"/>
          <w:pgNumType w:start="1"/>
          <w:cols w:space="720" w:num="1"/>
          <w:docGrid w:type="lines" w:linePitch="460" w:charSpace="0"/>
        </w:sectPr>
      </w:pPr>
    </w:p>
    <w:p w14:paraId="1DBE9757">
      <w:pPr>
        <w:pStyle w:val="2"/>
        <w:spacing w:before="312" w:beforeLines="100" w:after="0" w:afterLines="0" w:line="520" w:lineRule="exact"/>
        <w:ind w:firstLine="0" w:firstLineChars="0"/>
        <w:jc w:val="center"/>
        <w:rPr>
          <w:rFonts w:hint="eastAsia" w:eastAsia="方正小标宋_GBK"/>
          <w:b w:val="0"/>
        </w:rPr>
      </w:pPr>
      <w:bookmarkStart w:id="6" w:name="_Toc439358303"/>
      <w:bookmarkStart w:id="7" w:name="_Toc429669779"/>
      <w:bookmarkStart w:id="8" w:name="_Toc437344080"/>
      <w:bookmarkStart w:id="9" w:name="_Toc438133168"/>
      <w:r>
        <w:rPr>
          <w:rFonts w:hint="eastAsia" w:eastAsia="方正小标宋_GBK"/>
          <w:b w:val="0"/>
        </w:rPr>
        <w:t>第一章  现实背景</w:t>
      </w:r>
      <w:bookmarkEnd w:id="6"/>
      <w:bookmarkEnd w:id="7"/>
      <w:bookmarkEnd w:id="8"/>
      <w:bookmarkEnd w:id="9"/>
    </w:p>
    <w:p w14:paraId="47E1D910">
      <w:pPr>
        <w:pStyle w:val="3"/>
        <w:spacing w:before="312" w:beforeLines="100" w:after="156" w:afterLines="50" w:line="520" w:lineRule="exact"/>
        <w:ind w:firstLine="0" w:firstLineChars="0"/>
        <w:jc w:val="center"/>
        <w:rPr>
          <w:rFonts w:ascii="Arial" w:hAnsi="Arial" w:eastAsia="黑体"/>
        </w:rPr>
      </w:pPr>
      <w:bookmarkStart w:id="10" w:name="_Toc439358304"/>
      <w:bookmarkStart w:id="11" w:name="_Toc437344081"/>
      <w:bookmarkStart w:id="12" w:name="_Toc438133169"/>
      <w:r>
        <w:rPr>
          <w:rFonts w:hint="eastAsia" w:ascii="Arial" w:hAnsi="Arial" w:eastAsia="黑体"/>
          <w:b w:val="0"/>
        </w:rPr>
        <w:t>第一节  “十二五”发展主要成就</w:t>
      </w:r>
      <w:bookmarkEnd w:id="10"/>
      <w:bookmarkEnd w:id="11"/>
      <w:bookmarkEnd w:id="12"/>
    </w:p>
    <w:p w14:paraId="52DA72A4">
      <w:pPr>
        <w:widowControl/>
        <w:spacing w:line="610" w:lineRule="exact"/>
        <w:ind w:firstLine="640"/>
        <w:rPr>
          <w:rFonts w:ascii="Times New Roman" w:hAnsi="Times New Roman" w:cs="Times New Roman"/>
          <w:kern w:val="0"/>
          <w:sz w:val="32"/>
          <w:szCs w:val="32"/>
        </w:rPr>
      </w:pPr>
      <w:r>
        <w:rPr>
          <w:rFonts w:hint="eastAsia" w:ascii="仿宋_GB2312" w:hAnsi="Times New Roman" w:cs="Times New Roman"/>
          <w:kern w:val="0"/>
          <w:sz w:val="32"/>
          <w:szCs w:val="32"/>
        </w:rPr>
        <w:t>“十二五”时期，兴庆区坚持以科学发展观为统领，紧紧围绕自治区“两区”建设和银川市“</w:t>
      </w:r>
      <w:r>
        <w:rPr>
          <w:rFonts w:ascii="Times New Roman" w:hAnsi="Times New Roman" w:cs="Times New Roman"/>
          <w:kern w:val="0"/>
          <w:sz w:val="32"/>
          <w:szCs w:val="32"/>
        </w:rPr>
        <w:t>2258</w:t>
      </w:r>
      <w:r>
        <w:rPr>
          <w:rFonts w:hint="eastAsia" w:ascii="仿宋_GB2312" w:hAnsi="Times New Roman" w:cs="Times New Roman"/>
          <w:kern w:val="0"/>
          <w:sz w:val="32"/>
          <w:szCs w:val="32"/>
        </w:rPr>
        <w:t>”</w:t>
      </w:r>
      <w:r>
        <w:rPr>
          <w:rFonts w:ascii="Times New Roman" w:hAnsi="Times New Roman" w:cs="Times New Roman"/>
          <w:kern w:val="0"/>
          <w:sz w:val="32"/>
          <w:szCs w:val="32"/>
        </w:rPr>
        <w:t>工作方略，积极应对经济下行压力和改革发展稳定重任，牢牢把</w:t>
      </w:r>
      <w:r>
        <w:rPr>
          <w:rFonts w:hint="eastAsia" w:ascii="仿宋_GB2312" w:hAnsi="Times New Roman" w:cs="Times New Roman"/>
          <w:kern w:val="0"/>
          <w:sz w:val="32"/>
          <w:szCs w:val="32"/>
        </w:rPr>
        <w:t>握“走在前，做表率”工</w:t>
      </w:r>
      <w:r>
        <w:rPr>
          <w:rFonts w:ascii="Times New Roman" w:hAnsi="Times New Roman" w:cs="Times New Roman"/>
          <w:kern w:val="0"/>
          <w:sz w:val="32"/>
          <w:szCs w:val="32"/>
        </w:rPr>
        <w:t>作要求，主动适应新常态，解放思想，攻坚克难，顽强拼搏，开拓创新，全力以赴实施</w:t>
      </w:r>
      <w:r>
        <w:rPr>
          <w:rFonts w:hint="eastAsia" w:ascii="仿宋_GB2312" w:hAnsi="Times New Roman" w:cs="Times New Roman"/>
          <w:kern w:val="0"/>
          <w:sz w:val="32"/>
          <w:szCs w:val="32"/>
        </w:rPr>
        <w:t>“</w:t>
      </w:r>
      <w:r>
        <w:rPr>
          <w:rFonts w:ascii="Times New Roman" w:hAnsi="Times New Roman" w:cs="Times New Roman"/>
          <w:kern w:val="0"/>
          <w:sz w:val="32"/>
          <w:szCs w:val="32"/>
        </w:rPr>
        <w:t>8531</w:t>
      </w:r>
      <w:r>
        <w:rPr>
          <w:rFonts w:hint="eastAsia" w:ascii="仿宋_GB2312" w:hAnsi="Times New Roman" w:cs="Times New Roman"/>
          <w:kern w:val="0"/>
          <w:sz w:val="32"/>
          <w:szCs w:val="32"/>
        </w:rPr>
        <w:t>”</w:t>
      </w:r>
      <w:r>
        <w:rPr>
          <w:rFonts w:ascii="Times New Roman" w:hAnsi="Times New Roman" w:cs="Times New Roman"/>
          <w:kern w:val="0"/>
          <w:sz w:val="32"/>
          <w:szCs w:val="32"/>
        </w:rPr>
        <w:t>工作思路，统筹推进稳增长、调结构、促改革、惠民生等各项工作，较好地完成</w:t>
      </w:r>
      <w:r>
        <w:rPr>
          <w:rFonts w:hint="eastAsia" w:ascii="仿宋_GB2312" w:hAnsi="Times New Roman" w:cs="Times New Roman"/>
          <w:kern w:val="0"/>
          <w:sz w:val="32"/>
          <w:szCs w:val="32"/>
        </w:rPr>
        <w:t>了“十二五”的</w:t>
      </w:r>
      <w:r>
        <w:rPr>
          <w:rFonts w:ascii="Times New Roman" w:hAnsi="Times New Roman" w:cs="Times New Roman"/>
          <w:kern w:val="0"/>
          <w:sz w:val="32"/>
          <w:szCs w:val="32"/>
        </w:rPr>
        <w:t>各项目标任务。</w:t>
      </w:r>
    </w:p>
    <w:p w14:paraId="5A0943BE">
      <w:pPr>
        <w:widowControl/>
        <w:spacing w:line="610" w:lineRule="exact"/>
        <w:ind w:firstLine="643"/>
        <w:rPr>
          <w:rFonts w:ascii="Times New Roman" w:hAnsi="Times New Roman" w:cs="Times New Roman"/>
          <w:sz w:val="32"/>
          <w:szCs w:val="32"/>
        </w:rPr>
      </w:pPr>
      <w:r>
        <w:rPr>
          <w:rFonts w:ascii="Times New Roman" w:hAnsi="Times New Roman" w:cs="Times New Roman"/>
          <w:b/>
          <w:sz w:val="32"/>
          <w:szCs w:val="32"/>
        </w:rPr>
        <w:t>经济总量显著提升。</w:t>
      </w:r>
      <w:r>
        <w:rPr>
          <w:rFonts w:ascii="Times New Roman" w:hAnsi="Times New Roman" w:cs="Times New Roman"/>
          <w:bCs/>
          <w:sz w:val="32"/>
          <w:szCs w:val="32"/>
        </w:rPr>
        <w:t>2015年，</w:t>
      </w:r>
      <w:r>
        <w:rPr>
          <w:rFonts w:ascii="Times New Roman" w:hAnsi="Times New Roman" w:cs="Times New Roman"/>
          <w:color w:val="000000"/>
          <w:sz w:val="32"/>
          <w:szCs w:val="32"/>
        </w:rPr>
        <w:t>完成地区生产总值448.04亿元，</w:t>
      </w:r>
      <w:r>
        <w:rPr>
          <w:rFonts w:ascii="Times New Roman" w:hAnsi="Times New Roman" w:cs="Times New Roman"/>
          <w:sz w:val="32"/>
          <w:szCs w:val="32"/>
        </w:rPr>
        <w:t>同比增长8.5%，是2010年的1.7倍，继续保持宁夏22个区县之首；地方一般公共预算收入达12.96亿元，同比增长12.6%，是2010年的2.3倍；全社会固定资产投资210.80亿元，是2010年的2.3倍；社会消费品零售总额231.49亿元，是2010年的1.9倍。</w:t>
      </w:r>
    </w:p>
    <w:p w14:paraId="6C257648">
      <w:pPr>
        <w:widowControl/>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产业结构更加优化。</w:t>
      </w:r>
      <w:r>
        <w:rPr>
          <w:rFonts w:ascii="Times New Roman" w:hAnsi="Times New Roman" w:cs="Times New Roman"/>
          <w:sz w:val="32"/>
          <w:szCs w:val="32"/>
        </w:rPr>
        <w:t>三次产业结构优化为1.4:26.2:72.4，现代都市农业稳步发展，形成了蔬菜、花卉、奶牛三大特色。工业经</w:t>
      </w:r>
      <w:r>
        <w:rPr>
          <w:rFonts w:hint="eastAsia" w:ascii="仿宋_GB2312" w:hAnsi="Times New Roman" w:cs="Times New Roman"/>
          <w:sz w:val="32"/>
          <w:szCs w:val="32"/>
        </w:rPr>
        <w:t>济“小步快走”（基数小，</w:t>
      </w:r>
      <w:r>
        <w:rPr>
          <w:rFonts w:ascii="Times New Roman" w:hAnsi="Times New Roman" w:cs="Times New Roman"/>
          <w:sz w:val="32"/>
          <w:szCs w:val="32"/>
        </w:rPr>
        <w:t>增速高），2015年完成规模以上工业增加值8.5亿元。积极发展现代服务业，依托新华商圈、丽景街商贸物流带等主要载体，金融服务、电子商务、现代物流、文化旅游等产业比重逐步提高，通航产业开始起航。</w:t>
      </w:r>
    </w:p>
    <w:p w14:paraId="7E66C340">
      <w:pPr>
        <w:widowControl/>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城乡建设成效显著。</w:t>
      </w:r>
      <w:r>
        <w:rPr>
          <w:rFonts w:ascii="Times New Roman" w:hAnsi="Times New Roman" w:cs="Times New Roman"/>
          <w:sz w:val="32"/>
          <w:szCs w:val="32"/>
        </w:rPr>
        <w:t>实施友爱路、北京东路、新华东街、宝湖东路、新华西街、湖滨西街道路畅通工程，招商引资建设永泰城、立达、宁港等大型商业项目。先后实施了光华门等旧城南部、大新上前城村和大新村等城中村、中卫巷和唐徕小区旧城改造等项目。实施掌政镇、通贵乡特色小城镇，强家庙、河滩中心村建设，初步形成了市区—中心集镇—农村大社区衔接配套、结构合理、功能完善的城乡体系。美丽乡村变化巨大，赵家湖、东城水系、永二干沟、徕龙公园、京藏高速公路防洪排涝、小微公园及农村主干道亮化、老旧小区改造等生态惠民工程受到群众广泛肯定；生态移民工程任务提前完成，连续三年荣获自治区考核一等奖。</w:t>
      </w:r>
    </w:p>
    <w:p w14:paraId="2A6725BC">
      <w:pPr>
        <w:widowControl/>
        <w:spacing w:line="610" w:lineRule="exact"/>
        <w:ind w:firstLine="643"/>
        <w:rPr>
          <w:rFonts w:ascii="Times New Roman" w:hAnsi="Times New Roman" w:cs="Times New Roman"/>
          <w:kern w:val="0"/>
          <w:sz w:val="32"/>
          <w:szCs w:val="32"/>
        </w:rPr>
      </w:pPr>
      <w:r>
        <w:rPr>
          <w:rFonts w:ascii="Times New Roman" w:hAnsi="Times New Roman" w:cs="Times New Roman"/>
          <w:b/>
          <w:bCs/>
          <w:sz w:val="32"/>
          <w:szCs w:val="32"/>
        </w:rPr>
        <w:t>民生福祉持续增进</w:t>
      </w:r>
      <w:r>
        <w:rPr>
          <w:rFonts w:hint="eastAsia" w:ascii="仿宋_GB2312" w:hAnsi="Times New Roman" w:cs="Times New Roman"/>
          <w:b/>
          <w:bCs/>
          <w:sz w:val="32"/>
          <w:szCs w:val="32"/>
        </w:rPr>
        <w:t>。</w:t>
      </w:r>
      <w:r>
        <w:rPr>
          <w:rFonts w:hint="eastAsia" w:ascii="仿宋_GB2312" w:hAnsi="Times New Roman" w:cs="Times New Roman"/>
          <w:bCs/>
          <w:sz w:val="32"/>
          <w:szCs w:val="32"/>
        </w:rPr>
        <w:t>“</w:t>
      </w:r>
      <w:r>
        <w:rPr>
          <w:rFonts w:hint="eastAsia" w:ascii="仿宋_GB2312" w:hAnsi="Times New Roman" w:cs="Times New Roman"/>
          <w:sz w:val="32"/>
          <w:szCs w:val="32"/>
        </w:rPr>
        <w:t>十二五”期</w:t>
      </w:r>
      <w:r>
        <w:rPr>
          <w:rFonts w:ascii="Times New Roman" w:hAnsi="Times New Roman" w:cs="Times New Roman"/>
          <w:sz w:val="32"/>
          <w:szCs w:val="32"/>
        </w:rPr>
        <w:t>间，累计投入5.76亿元，新建、扩建、改造幼儿园及中小学75所，顺利通过国家教育均衡化验收。新建兴庆区文化馆、图书馆和体育馆，被文化部命名为中国民间文化艺术之乡。深化医疗卫生体制改革，建设掌政镇中心卫生院、通贵乡卫生院，初步实现基本公共卫生服务均等化。全面推进就业创业，城镇新增就业和农村劳动力转移就业达10万余人，社会保障体系进一步健全。城乡居民收入稳步增长，城镇和农村常住居民人均可支配收入分别达30514元和12625元，是2010年的1.6倍和1.7倍。</w:t>
      </w:r>
      <w:r>
        <w:rPr>
          <w:rFonts w:ascii="Times New Roman" w:hAnsi="Times New Roman" w:cs="Times New Roman"/>
          <w:bCs/>
          <w:sz w:val="32"/>
          <w:szCs w:val="32"/>
        </w:rPr>
        <w:t>2014年兴庆区全面建成小康社会总体实现程度为92.29%，25项子指标有17项指标实现程度已达100%。</w:t>
      </w:r>
    </w:p>
    <w:p w14:paraId="4D26DE94">
      <w:pPr>
        <w:widowControl/>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社会治理成绩突出。</w:t>
      </w:r>
      <w:r>
        <w:rPr>
          <w:rFonts w:ascii="Times New Roman" w:hAnsi="Times New Roman" w:cs="Times New Roman"/>
          <w:sz w:val="32"/>
          <w:szCs w:val="32"/>
        </w:rPr>
        <w:t>建立了网格化管理的和谐社区建设模式，</w:t>
      </w:r>
      <w:r>
        <w:rPr>
          <w:rFonts w:ascii="Times New Roman" w:hAnsi="Times New Roman" w:cs="Times New Roman"/>
          <w:snapToGrid w:val="0"/>
          <w:kern w:val="0"/>
          <w:sz w:val="32"/>
          <w:szCs w:val="32"/>
        </w:rPr>
        <w:t>解放西街、玉皇阁北街北关社区分别获评全</w:t>
      </w:r>
      <w:r>
        <w:rPr>
          <w:rFonts w:hint="eastAsia" w:ascii="仿宋_GB2312" w:hAnsi="Times New Roman" w:cs="Times New Roman"/>
          <w:snapToGrid w:val="0"/>
          <w:kern w:val="0"/>
          <w:sz w:val="32"/>
          <w:szCs w:val="32"/>
        </w:rPr>
        <w:t>国“和谐社区”</w:t>
      </w:r>
      <w:r>
        <w:rPr>
          <w:rFonts w:ascii="Times New Roman" w:hAnsi="Times New Roman" w:cs="Times New Roman"/>
          <w:sz w:val="32"/>
          <w:szCs w:val="32"/>
        </w:rPr>
        <w:t>建设示范街道、示范社区；兴庆区</w:t>
      </w:r>
      <w:r>
        <w:rPr>
          <w:rFonts w:hint="eastAsia" w:ascii="仿宋_GB2312" w:hAnsi="Times New Roman" w:cs="Times New Roman"/>
          <w:sz w:val="32"/>
          <w:szCs w:val="32"/>
        </w:rPr>
        <w:t>“</w:t>
      </w:r>
      <w:r>
        <w:rPr>
          <w:rFonts w:ascii="Times New Roman" w:hAnsi="Times New Roman" w:cs="Times New Roman"/>
          <w:sz w:val="32"/>
          <w:szCs w:val="32"/>
        </w:rPr>
        <w:t>11125</w:t>
      </w:r>
      <w:r>
        <w:rPr>
          <w:rFonts w:hint="eastAsia" w:ascii="仿宋_GB2312" w:hAnsi="Times New Roman" w:cs="Times New Roman"/>
          <w:sz w:val="32"/>
          <w:szCs w:val="32"/>
        </w:rPr>
        <w:t>”</w:t>
      </w:r>
      <w:r>
        <w:rPr>
          <w:rFonts w:ascii="Times New Roman" w:hAnsi="Times New Roman" w:cs="Times New Roman"/>
          <w:sz w:val="32"/>
          <w:szCs w:val="32"/>
        </w:rPr>
        <w:t>和谐社区建设模式在自治区得到推广，在银川市范围内率先完成街道市民服务中心和乡镇民生服务中心建设，实现四级服务中心联网；大力创建</w:t>
      </w:r>
      <w:r>
        <w:rPr>
          <w:rFonts w:hint="eastAsia" w:ascii="仿宋_GB2312" w:hAnsi="Times New Roman" w:cs="Times New Roman"/>
          <w:sz w:val="32"/>
          <w:szCs w:val="32"/>
        </w:rPr>
        <w:t>“平安兴庆”，完善政法部门、社区街道、群众共建机制。逐年</w:t>
      </w:r>
      <w:r>
        <w:rPr>
          <w:rFonts w:ascii="Times New Roman" w:hAnsi="Times New Roman" w:cs="Times New Roman"/>
          <w:sz w:val="32"/>
          <w:szCs w:val="32"/>
        </w:rPr>
        <w:t>加大安全生产投入，充实人员配备，安全生产制度逐渐完备。</w:t>
      </w:r>
    </w:p>
    <w:p w14:paraId="3F29E0A9">
      <w:pPr>
        <w:pStyle w:val="4"/>
        <w:spacing w:after="93" w:afterLines="30" w:line="610" w:lineRule="exact"/>
        <w:ind w:firstLine="0" w:firstLineChars="0"/>
        <w:jc w:val="center"/>
        <w:rPr>
          <w:rFonts w:hint="eastAsia" w:ascii="仿宋_GB2312" w:hAnsi="Times New Roman" w:eastAsia="仿宋_GB2312" w:cs="Times New Roman"/>
          <w:b/>
          <w:sz w:val="24"/>
          <w:szCs w:val="24"/>
        </w:rPr>
      </w:pPr>
      <w:bookmarkStart w:id="13" w:name="_Toc441134502"/>
      <w:bookmarkStart w:id="14" w:name="_Toc438132001"/>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“十二五”时期经济社会发展状况</w:t>
      </w:r>
      <w:bookmarkEnd w:id="13"/>
      <w:bookmarkEnd w:id="14"/>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92"/>
        <w:gridCol w:w="794"/>
        <w:gridCol w:w="1110"/>
        <w:gridCol w:w="1109"/>
        <w:gridCol w:w="1114"/>
        <w:gridCol w:w="1113"/>
      </w:tblGrid>
      <w:tr w14:paraId="71C0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vMerge w:val="restart"/>
            <w:noWrap w:val="0"/>
            <w:vAlign w:val="center"/>
          </w:tcPr>
          <w:p w14:paraId="57B071D2">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指标名称</w:t>
            </w:r>
          </w:p>
        </w:tc>
        <w:tc>
          <w:tcPr>
            <w:tcW w:w="794" w:type="dxa"/>
            <w:vMerge w:val="restart"/>
            <w:noWrap w:val="0"/>
            <w:vAlign w:val="center"/>
          </w:tcPr>
          <w:p w14:paraId="48AB3EAC">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单位</w:t>
            </w:r>
          </w:p>
        </w:tc>
        <w:tc>
          <w:tcPr>
            <w:tcW w:w="1110" w:type="dxa"/>
            <w:noWrap w:val="0"/>
            <w:vAlign w:val="center"/>
          </w:tcPr>
          <w:p w14:paraId="3AF6199B">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2010年</w:t>
            </w:r>
          </w:p>
        </w:tc>
        <w:tc>
          <w:tcPr>
            <w:tcW w:w="1109" w:type="dxa"/>
            <w:noWrap w:val="0"/>
            <w:vAlign w:val="center"/>
          </w:tcPr>
          <w:p w14:paraId="6FF2CAF7">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2014年</w:t>
            </w:r>
          </w:p>
        </w:tc>
        <w:tc>
          <w:tcPr>
            <w:tcW w:w="2227" w:type="dxa"/>
            <w:gridSpan w:val="2"/>
            <w:noWrap w:val="0"/>
            <w:vAlign w:val="center"/>
          </w:tcPr>
          <w:p w14:paraId="66D62C8E">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2015年</w:t>
            </w:r>
          </w:p>
        </w:tc>
      </w:tr>
      <w:tr w14:paraId="15505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vMerge w:val="continue"/>
            <w:noWrap w:val="0"/>
            <w:vAlign w:val="center"/>
          </w:tcPr>
          <w:p w14:paraId="5882ACEC">
            <w:pPr>
              <w:widowControl/>
              <w:adjustRightInd w:val="0"/>
              <w:snapToGrid w:val="0"/>
              <w:spacing w:line="240" w:lineRule="auto"/>
              <w:ind w:firstLine="0" w:firstLineChars="0"/>
              <w:jc w:val="center"/>
              <w:rPr>
                <w:rFonts w:ascii="Times New Roman" w:hAnsi="Times New Roman" w:cs="Times New Roman"/>
                <w:b/>
                <w:sz w:val="24"/>
                <w:szCs w:val="24"/>
              </w:rPr>
            </w:pPr>
          </w:p>
        </w:tc>
        <w:tc>
          <w:tcPr>
            <w:tcW w:w="794" w:type="dxa"/>
            <w:vMerge w:val="continue"/>
            <w:noWrap w:val="0"/>
            <w:vAlign w:val="center"/>
          </w:tcPr>
          <w:p w14:paraId="4A1255A0">
            <w:pPr>
              <w:widowControl/>
              <w:adjustRightInd w:val="0"/>
              <w:snapToGrid w:val="0"/>
              <w:spacing w:line="240" w:lineRule="auto"/>
              <w:ind w:firstLine="0" w:firstLineChars="0"/>
              <w:jc w:val="center"/>
              <w:rPr>
                <w:rFonts w:ascii="Times New Roman" w:hAnsi="Times New Roman" w:cs="Times New Roman"/>
                <w:b/>
                <w:sz w:val="24"/>
                <w:szCs w:val="24"/>
              </w:rPr>
            </w:pPr>
          </w:p>
        </w:tc>
        <w:tc>
          <w:tcPr>
            <w:tcW w:w="1110" w:type="dxa"/>
            <w:noWrap w:val="0"/>
            <w:vAlign w:val="center"/>
          </w:tcPr>
          <w:p w14:paraId="3CE9B734">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绝对值</w:t>
            </w:r>
          </w:p>
        </w:tc>
        <w:tc>
          <w:tcPr>
            <w:tcW w:w="1109" w:type="dxa"/>
            <w:noWrap w:val="0"/>
            <w:vAlign w:val="center"/>
          </w:tcPr>
          <w:p w14:paraId="7CD389F7">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绝对值</w:t>
            </w:r>
          </w:p>
        </w:tc>
        <w:tc>
          <w:tcPr>
            <w:tcW w:w="1114" w:type="dxa"/>
            <w:noWrap w:val="0"/>
            <w:vAlign w:val="center"/>
          </w:tcPr>
          <w:p w14:paraId="06B9BFEA">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绝对值</w:t>
            </w:r>
          </w:p>
        </w:tc>
        <w:tc>
          <w:tcPr>
            <w:tcW w:w="1113" w:type="dxa"/>
            <w:noWrap w:val="0"/>
            <w:vAlign w:val="center"/>
          </w:tcPr>
          <w:p w14:paraId="52E9E7D9">
            <w:pPr>
              <w:widowControl/>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增速</w:t>
            </w:r>
          </w:p>
        </w:tc>
      </w:tr>
      <w:tr w14:paraId="4B56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32" w:type="dxa"/>
            <w:gridSpan w:val="6"/>
            <w:noWrap w:val="0"/>
            <w:vAlign w:val="center"/>
          </w:tcPr>
          <w:p w14:paraId="4353817E">
            <w:pPr>
              <w:widowControl/>
              <w:adjustRightInd w:val="0"/>
              <w:snapToGrid w:val="0"/>
              <w:spacing w:line="240" w:lineRule="auto"/>
              <w:ind w:left="60" w:leftChars="20" w:firstLine="0" w:firstLineChars="0"/>
              <w:jc w:val="left"/>
              <w:rPr>
                <w:rFonts w:ascii="Times New Roman" w:hAnsi="Times New Roman" w:cs="Times New Roman"/>
                <w:b/>
                <w:sz w:val="24"/>
                <w:szCs w:val="24"/>
              </w:rPr>
            </w:pPr>
            <w:r>
              <w:rPr>
                <w:rFonts w:ascii="Times New Roman" w:hAnsi="Times New Roman" w:cs="Times New Roman"/>
                <w:b/>
                <w:sz w:val="24"/>
                <w:szCs w:val="24"/>
              </w:rPr>
              <w:t>经济发展</w:t>
            </w:r>
          </w:p>
        </w:tc>
      </w:tr>
      <w:tr w14:paraId="36A57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10E0DA60">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地区生产总值</w:t>
            </w:r>
          </w:p>
        </w:tc>
        <w:tc>
          <w:tcPr>
            <w:tcW w:w="794" w:type="dxa"/>
            <w:noWrap w:val="0"/>
            <w:vAlign w:val="center"/>
          </w:tcPr>
          <w:p w14:paraId="05FDA7BA">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7E390175">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270.98</w:t>
            </w:r>
          </w:p>
        </w:tc>
        <w:tc>
          <w:tcPr>
            <w:tcW w:w="1109" w:type="dxa"/>
            <w:noWrap w:val="0"/>
            <w:vAlign w:val="center"/>
          </w:tcPr>
          <w:p w14:paraId="4DF7498D">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418.43</w:t>
            </w:r>
          </w:p>
        </w:tc>
        <w:tc>
          <w:tcPr>
            <w:tcW w:w="1114" w:type="dxa"/>
            <w:noWrap w:val="0"/>
            <w:vAlign w:val="center"/>
          </w:tcPr>
          <w:p w14:paraId="58479A0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448.04</w:t>
            </w:r>
          </w:p>
        </w:tc>
        <w:tc>
          <w:tcPr>
            <w:tcW w:w="1113" w:type="dxa"/>
            <w:noWrap w:val="0"/>
            <w:vAlign w:val="center"/>
          </w:tcPr>
          <w:p w14:paraId="6B379B1A">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8.5%</w:t>
            </w:r>
          </w:p>
        </w:tc>
      </w:tr>
      <w:tr w14:paraId="37FE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17930C64">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规模以上工业增加值</w:t>
            </w:r>
          </w:p>
        </w:tc>
        <w:tc>
          <w:tcPr>
            <w:tcW w:w="794" w:type="dxa"/>
            <w:noWrap w:val="0"/>
            <w:vAlign w:val="center"/>
          </w:tcPr>
          <w:p w14:paraId="16511E63">
            <w:pPr>
              <w:widowControl/>
              <w:adjustRightInd w:val="0"/>
              <w:snapToGrid w:val="0"/>
              <w:spacing w:line="240" w:lineRule="auto"/>
              <w:ind w:firstLine="0" w:firstLineChars="0"/>
              <w:jc w:val="left"/>
              <w:rPr>
                <w:rFonts w:ascii="Times New Roman" w:hAnsi="Times New Roman" w:cs="Times New Roman"/>
                <w:sz w:val="24"/>
                <w:szCs w:val="24"/>
              </w:rPr>
            </w:pPr>
          </w:p>
        </w:tc>
        <w:tc>
          <w:tcPr>
            <w:tcW w:w="1110" w:type="dxa"/>
            <w:noWrap w:val="0"/>
            <w:vAlign w:val="center"/>
          </w:tcPr>
          <w:p w14:paraId="110BD77D">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60.9</w:t>
            </w:r>
          </w:p>
        </w:tc>
        <w:tc>
          <w:tcPr>
            <w:tcW w:w="1109" w:type="dxa"/>
            <w:noWrap w:val="0"/>
            <w:vAlign w:val="center"/>
          </w:tcPr>
          <w:p w14:paraId="28B2B8A5">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8.4</w:t>
            </w:r>
          </w:p>
        </w:tc>
        <w:tc>
          <w:tcPr>
            <w:tcW w:w="1114" w:type="dxa"/>
            <w:noWrap w:val="0"/>
            <w:vAlign w:val="center"/>
          </w:tcPr>
          <w:p w14:paraId="031EF6B9">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8.5</w:t>
            </w:r>
          </w:p>
        </w:tc>
        <w:tc>
          <w:tcPr>
            <w:tcW w:w="1113" w:type="dxa"/>
            <w:noWrap w:val="0"/>
            <w:vAlign w:val="center"/>
          </w:tcPr>
          <w:p w14:paraId="4B23C27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10.6%</w:t>
            </w:r>
          </w:p>
        </w:tc>
      </w:tr>
      <w:tr w14:paraId="4D5B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43F96871">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地方一般公共预算收入</w:t>
            </w:r>
          </w:p>
        </w:tc>
        <w:tc>
          <w:tcPr>
            <w:tcW w:w="794" w:type="dxa"/>
            <w:noWrap w:val="0"/>
            <w:vAlign w:val="center"/>
          </w:tcPr>
          <w:p w14:paraId="774B88EB">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77E9FEE2">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5.67</w:t>
            </w:r>
          </w:p>
        </w:tc>
        <w:tc>
          <w:tcPr>
            <w:tcW w:w="1109" w:type="dxa"/>
            <w:noWrap w:val="0"/>
            <w:vAlign w:val="center"/>
          </w:tcPr>
          <w:p w14:paraId="62973A1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11.51</w:t>
            </w:r>
          </w:p>
        </w:tc>
        <w:tc>
          <w:tcPr>
            <w:tcW w:w="1114" w:type="dxa"/>
            <w:noWrap w:val="0"/>
            <w:vAlign w:val="center"/>
          </w:tcPr>
          <w:p w14:paraId="1833BE87">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12.96</w:t>
            </w:r>
          </w:p>
        </w:tc>
        <w:tc>
          <w:tcPr>
            <w:tcW w:w="1113" w:type="dxa"/>
            <w:noWrap w:val="0"/>
            <w:vAlign w:val="center"/>
          </w:tcPr>
          <w:p w14:paraId="7154C23A">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12.6%</w:t>
            </w:r>
          </w:p>
        </w:tc>
      </w:tr>
      <w:tr w14:paraId="6035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1B6D64EC">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全社会固定资产投资</w:t>
            </w:r>
          </w:p>
        </w:tc>
        <w:tc>
          <w:tcPr>
            <w:tcW w:w="794" w:type="dxa"/>
            <w:noWrap w:val="0"/>
            <w:vAlign w:val="center"/>
          </w:tcPr>
          <w:p w14:paraId="51690835">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5E63105D">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91.07</w:t>
            </w:r>
          </w:p>
        </w:tc>
        <w:tc>
          <w:tcPr>
            <w:tcW w:w="1109" w:type="dxa"/>
            <w:noWrap w:val="0"/>
            <w:vAlign w:val="center"/>
          </w:tcPr>
          <w:p w14:paraId="06D150A9">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178.93</w:t>
            </w:r>
          </w:p>
        </w:tc>
        <w:tc>
          <w:tcPr>
            <w:tcW w:w="1114" w:type="dxa"/>
            <w:noWrap w:val="0"/>
            <w:vAlign w:val="center"/>
          </w:tcPr>
          <w:p w14:paraId="425E9AD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210.80</w:t>
            </w:r>
          </w:p>
        </w:tc>
        <w:tc>
          <w:tcPr>
            <w:tcW w:w="1113" w:type="dxa"/>
            <w:noWrap w:val="0"/>
            <w:vAlign w:val="center"/>
          </w:tcPr>
          <w:p w14:paraId="6C03664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17.8%</w:t>
            </w:r>
          </w:p>
        </w:tc>
      </w:tr>
      <w:tr w14:paraId="4E34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084B1230">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社会消费品零售总额</w:t>
            </w:r>
          </w:p>
        </w:tc>
        <w:tc>
          <w:tcPr>
            <w:tcW w:w="794" w:type="dxa"/>
            <w:noWrap w:val="0"/>
            <w:vAlign w:val="center"/>
          </w:tcPr>
          <w:p w14:paraId="2F94A4FD">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亿元</w:t>
            </w:r>
          </w:p>
        </w:tc>
        <w:tc>
          <w:tcPr>
            <w:tcW w:w="1110" w:type="dxa"/>
            <w:noWrap w:val="0"/>
            <w:vAlign w:val="center"/>
          </w:tcPr>
          <w:p w14:paraId="37D502E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119.23</w:t>
            </w:r>
          </w:p>
        </w:tc>
        <w:tc>
          <w:tcPr>
            <w:tcW w:w="1109" w:type="dxa"/>
            <w:noWrap w:val="0"/>
            <w:vAlign w:val="center"/>
          </w:tcPr>
          <w:p w14:paraId="34778B9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187.34</w:t>
            </w:r>
          </w:p>
        </w:tc>
        <w:tc>
          <w:tcPr>
            <w:tcW w:w="1114" w:type="dxa"/>
            <w:noWrap w:val="0"/>
            <w:vAlign w:val="center"/>
          </w:tcPr>
          <w:p w14:paraId="71138811">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231.49</w:t>
            </w:r>
          </w:p>
        </w:tc>
        <w:tc>
          <w:tcPr>
            <w:tcW w:w="1113" w:type="dxa"/>
            <w:noWrap w:val="0"/>
            <w:vAlign w:val="center"/>
          </w:tcPr>
          <w:p w14:paraId="7D5FAED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7.5%</w:t>
            </w:r>
          </w:p>
        </w:tc>
      </w:tr>
      <w:tr w14:paraId="0EA7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732" w:type="dxa"/>
            <w:gridSpan w:val="6"/>
            <w:noWrap w:val="0"/>
            <w:vAlign w:val="center"/>
          </w:tcPr>
          <w:p w14:paraId="1AED93DE">
            <w:pPr>
              <w:widowControl/>
              <w:adjustRightInd w:val="0"/>
              <w:snapToGrid w:val="0"/>
              <w:spacing w:line="240" w:lineRule="auto"/>
              <w:ind w:left="60" w:leftChars="20" w:right="60" w:rightChars="20" w:firstLine="0" w:firstLineChars="0"/>
              <w:jc w:val="left"/>
              <w:rPr>
                <w:rFonts w:ascii="Times New Roman" w:hAnsi="Times New Roman" w:cs="Times New Roman"/>
                <w:b/>
                <w:sz w:val="24"/>
                <w:szCs w:val="24"/>
              </w:rPr>
            </w:pPr>
            <w:r>
              <w:rPr>
                <w:rFonts w:ascii="Times New Roman" w:hAnsi="Times New Roman" w:cs="Times New Roman"/>
                <w:b/>
                <w:sz w:val="24"/>
                <w:szCs w:val="24"/>
              </w:rPr>
              <w:t>人民生活</w:t>
            </w:r>
          </w:p>
        </w:tc>
      </w:tr>
      <w:tr w14:paraId="194E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732A433D">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城镇居民人均可支配收入</w:t>
            </w:r>
          </w:p>
        </w:tc>
        <w:tc>
          <w:tcPr>
            <w:tcW w:w="794" w:type="dxa"/>
            <w:noWrap w:val="0"/>
            <w:vAlign w:val="center"/>
          </w:tcPr>
          <w:p w14:paraId="2AD00874">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元</w:t>
            </w:r>
          </w:p>
        </w:tc>
        <w:tc>
          <w:tcPr>
            <w:tcW w:w="1110" w:type="dxa"/>
            <w:noWrap w:val="0"/>
            <w:vAlign w:val="center"/>
          </w:tcPr>
          <w:p w14:paraId="16ECEB70">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18498</w:t>
            </w:r>
          </w:p>
        </w:tc>
        <w:tc>
          <w:tcPr>
            <w:tcW w:w="1109" w:type="dxa"/>
            <w:noWrap w:val="0"/>
            <w:vAlign w:val="center"/>
          </w:tcPr>
          <w:p w14:paraId="316C1FA2">
            <w:pPr>
              <w:widowControl/>
              <w:adjustRightInd w:val="0"/>
              <w:snapToGrid w:val="0"/>
              <w:spacing w:line="240" w:lineRule="auto"/>
              <w:ind w:right="60" w:rightChars="20" w:firstLine="0" w:firstLineChars="0"/>
              <w:jc w:val="right"/>
              <w:rPr>
                <w:rFonts w:hint="eastAsia" w:ascii="Times New Roman" w:hAnsi="Times New Roman" w:cs="Times New Roman"/>
                <w:sz w:val="24"/>
                <w:szCs w:val="24"/>
              </w:rPr>
            </w:pPr>
            <w:r>
              <w:rPr>
                <w:rFonts w:ascii="Times New Roman" w:hAnsi="Times New Roman" w:cs="Times New Roman"/>
                <w:sz w:val="24"/>
                <w:szCs w:val="24"/>
              </w:rPr>
              <w:t xml:space="preserve"> 28246</w:t>
            </w:r>
          </w:p>
        </w:tc>
        <w:tc>
          <w:tcPr>
            <w:tcW w:w="1114" w:type="dxa"/>
            <w:noWrap w:val="0"/>
            <w:vAlign w:val="center"/>
          </w:tcPr>
          <w:p w14:paraId="1C1E7AC5">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30514</w:t>
            </w:r>
          </w:p>
        </w:tc>
        <w:tc>
          <w:tcPr>
            <w:tcW w:w="1113" w:type="dxa"/>
            <w:noWrap w:val="0"/>
            <w:vAlign w:val="center"/>
          </w:tcPr>
          <w:p w14:paraId="529C925F">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w:t>
            </w:r>
          </w:p>
        </w:tc>
      </w:tr>
      <w:tr w14:paraId="07DB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492" w:type="dxa"/>
            <w:noWrap w:val="0"/>
            <w:vAlign w:val="center"/>
          </w:tcPr>
          <w:p w14:paraId="3F8EC0CF">
            <w:pPr>
              <w:widowControl/>
              <w:adjustRightInd w:val="0"/>
              <w:snapToGrid w:val="0"/>
              <w:spacing w:line="240" w:lineRule="auto"/>
              <w:ind w:left="60" w:leftChars="20" w:firstLine="0" w:firstLineChars="0"/>
              <w:jc w:val="left"/>
              <w:rPr>
                <w:rFonts w:ascii="Times New Roman" w:hAnsi="Times New Roman" w:cs="Times New Roman"/>
                <w:sz w:val="24"/>
                <w:szCs w:val="24"/>
              </w:rPr>
            </w:pPr>
            <w:r>
              <w:rPr>
                <w:rFonts w:ascii="Times New Roman" w:hAnsi="Times New Roman" w:cs="Times New Roman"/>
                <w:sz w:val="24"/>
                <w:szCs w:val="24"/>
              </w:rPr>
              <w:t>农村居民人均可支配收入</w:t>
            </w:r>
          </w:p>
        </w:tc>
        <w:tc>
          <w:tcPr>
            <w:tcW w:w="794" w:type="dxa"/>
            <w:noWrap w:val="0"/>
            <w:vAlign w:val="center"/>
          </w:tcPr>
          <w:p w14:paraId="091FCAAA">
            <w:pPr>
              <w:widowControl/>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元</w:t>
            </w:r>
          </w:p>
        </w:tc>
        <w:tc>
          <w:tcPr>
            <w:tcW w:w="1110" w:type="dxa"/>
            <w:noWrap w:val="0"/>
            <w:vAlign w:val="center"/>
          </w:tcPr>
          <w:p w14:paraId="11C941F8">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6820</w:t>
            </w:r>
          </w:p>
        </w:tc>
        <w:tc>
          <w:tcPr>
            <w:tcW w:w="1109" w:type="dxa"/>
            <w:noWrap w:val="0"/>
            <w:vAlign w:val="center"/>
          </w:tcPr>
          <w:p w14:paraId="7B6ABAF8">
            <w:pPr>
              <w:widowControl/>
              <w:adjustRightInd w:val="0"/>
              <w:snapToGrid w:val="0"/>
              <w:spacing w:line="240" w:lineRule="auto"/>
              <w:ind w:right="60" w:rightChars="20" w:firstLine="0" w:firstLineChars="0"/>
              <w:jc w:val="right"/>
              <w:rPr>
                <w:rFonts w:hint="eastAsia" w:ascii="Times New Roman" w:hAnsi="Times New Roman" w:cs="Times New Roman"/>
                <w:sz w:val="24"/>
                <w:szCs w:val="24"/>
              </w:rPr>
            </w:pPr>
            <w:r>
              <w:rPr>
                <w:rFonts w:ascii="Times New Roman" w:hAnsi="Times New Roman" w:cs="Times New Roman"/>
                <w:sz w:val="24"/>
                <w:szCs w:val="24"/>
              </w:rPr>
              <w:t>1167</w:t>
            </w:r>
            <w:r>
              <w:rPr>
                <w:rFonts w:hint="eastAsia" w:ascii="Times New Roman" w:hAnsi="Times New Roman" w:cs="Times New Roman"/>
                <w:sz w:val="24"/>
                <w:szCs w:val="24"/>
              </w:rPr>
              <w:t>7</w:t>
            </w:r>
          </w:p>
        </w:tc>
        <w:tc>
          <w:tcPr>
            <w:tcW w:w="1114" w:type="dxa"/>
            <w:noWrap w:val="0"/>
            <w:vAlign w:val="center"/>
          </w:tcPr>
          <w:p w14:paraId="0F8F8F6E">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12625</w:t>
            </w:r>
          </w:p>
        </w:tc>
        <w:tc>
          <w:tcPr>
            <w:tcW w:w="1113" w:type="dxa"/>
            <w:noWrap w:val="0"/>
            <w:vAlign w:val="center"/>
          </w:tcPr>
          <w:p w14:paraId="4947036B">
            <w:pPr>
              <w:widowControl/>
              <w:adjustRightInd w:val="0"/>
              <w:snapToGrid w:val="0"/>
              <w:spacing w:line="240" w:lineRule="auto"/>
              <w:ind w:right="60" w:rightChars="20" w:firstLine="0" w:firstLineChars="0"/>
              <w:jc w:val="right"/>
              <w:rPr>
                <w:rFonts w:ascii="Times New Roman" w:hAnsi="Times New Roman" w:cs="Times New Roman"/>
                <w:sz w:val="24"/>
                <w:szCs w:val="24"/>
              </w:rPr>
            </w:pPr>
            <w:r>
              <w:rPr>
                <w:rFonts w:ascii="Times New Roman" w:hAnsi="Times New Roman" w:cs="Times New Roman"/>
                <w:sz w:val="24"/>
                <w:szCs w:val="24"/>
              </w:rPr>
              <w:t>8.1%</w:t>
            </w:r>
          </w:p>
        </w:tc>
      </w:tr>
    </w:tbl>
    <w:p w14:paraId="741C96FD">
      <w:pPr>
        <w:pStyle w:val="4"/>
        <w:spacing w:after="93" w:afterLines="30" w:line="610" w:lineRule="exact"/>
        <w:ind w:firstLine="0" w:firstLineChars="0"/>
        <w:jc w:val="center"/>
        <w:rPr>
          <w:rFonts w:hint="eastAsia" w:ascii="仿宋_GB2312" w:hAnsi="Times New Roman" w:eastAsia="仿宋_GB2312" w:cs="Times New Roman"/>
          <w:b/>
          <w:sz w:val="24"/>
          <w:szCs w:val="24"/>
        </w:rPr>
      </w:pPr>
      <w:bookmarkStart w:id="15" w:name="_Toc438132002"/>
      <w:bookmarkStart w:id="16" w:name="_Toc441134503"/>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2</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“十二五”时期小康社会指标完成情况</w:t>
      </w:r>
      <w:bookmarkEnd w:id="15"/>
      <w:bookmarkEnd w:id="16"/>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14"/>
        <w:gridCol w:w="3218"/>
      </w:tblGrid>
      <w:tr w14:paraId="58D6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77833340">
            <w:pPr>
              <w:adjustRightInd w:val="0"/>
              <w:snapToGrid w:val="0"/>
              <w:spacing w:line="240" w:lineRule="auto"/>
              <w:ind w:firstLine="0" w:firstLineChars="0"/>
              <w:rPr>
                <w:rFonts w:ascii="Times New Roman" w:hAnsi="Times New Roman" w:cs="Times New Roman"/>
                <w:b/>
                <w:sz w:val="24"/>
                <w:szCs w:val="24"/>
              </w:rPr>
            </w:pPr>
            <w:r>
              <w:rPr>
                <w:rFonts w:ascii="Times New Roman" w:hAnsi="Times New Roman" w:cs="Times New Roman"/>
                <w:b/>
                <w:sz w:val="24"/>
                <w:szCs w:val="24"/>
              </w:rPr>
              <w:t>一、经济发展</w:t>
            </w:r>
          </w:p>
        </w:tc>
      </w:tr>
      <w:tr w14:paraId="6CE4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D12359A">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rPr>
              <w:t xml:space="preserve"> </w:t>
            </w:r>
            <w:r>
              <w:rPr>
                <w:rFonts w:ascii="Times New Roman" w:hAnsi="Times New Roman" w:cs="Times New Roman"/>
                <w:sz w:val="24"/>
                <w:szCs w:val="24"/>
              </w:rPr>
              <w:t>人均GDP</w:t>
            </w:r>
          </w:p>
        </w:tc>
        <w:tc>
          <w:tcPr>
            <w:tcW w:w="3218" w:type="dxa"/>
            <w:noWrap w:val="0"/>
            <w:vAlign w:val="center"/>
          </w:tcPr>
          <w:p w14:paraId="7CEB9E17">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实现94.47%</w:t>
            </w:r>
          </w:p>
        </w:tc>
      </w:tr>
      <w:tr w14:paraId="7E9F7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F69D3FE">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w:t>
            </w:r>
            <w:r>
              <w:rPr>
                <w:rFonts w:hint="eastAsia" w:ascii="Times New Roman" w:hAnsi="Times New Roman" w:cs="Times New Roman"/>
                <w:sz w:val="24"/>
                <w:szCs w:val="24"/>
              </w:rPr>
              <w:t xml:space="preserve"> </w:t>
            </w:r>
            <w:r>
              <w:rPr>
                <w:rFonts w:ascii="Times New Roman" w:hAnsi="Times New Roman" w:cs="Times New Roman"/>
                <w:sz w:val="24"/>
                <w:szCs w:val="24"/>
              </w:rPr>
              <w:t>人均地方公共财政预算收入</w:t>
            </w:r>
          </w:p>
        </w:tc>
        <w:tc>
          <w:tcPr>
            <w:tcW w:w="3218" w:type="dxa"/>
            <w:noWrap w:val="0"/>
            <w:vAlign w:val="center"/>
          </w:tcPr>
          <w:p w14:paraId="437C1CBA">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实现40.17%</w:t>
            </w:r>
          </w:p>
        </w:tc>
      </w:tr>
      <w:tr w14:paraId="4CF9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6BE7437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rPr>
              <w:t xml:space="preserve"> </w:t>
            </w:r>
            <w:r>
              <w:rPr>
                <w:rFonts w:ascii="Times New Roman" w:hAnsi="Times New Roman" w:cs="Times New Roman"/>
                <w:sz w:val="24"/>
                <w:szCs w:val="24"/>
              </w:rPr>
              <w:t>第三产业增加值占GDP比重</w:t>
            </w:r>
          </w:p>
        </w:tc>
        <w:tc>
          <w:tcPr>
            <w:tcW w:w="3218" w:type="dxa"/>
            <w:noWrap w:val="0"/>
            <w:vAlign w:val="center"/>
          </w:tcPr>
          <w:p w14:paraId="6B9D9C54">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43F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78BBCF0">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4.</w:t>
            </w:r>
            <w:r>
              <w:rPr>
                <w:rFonts w:hint="eastAsia" w:ascii="Times New Roman" w:hAnsi="Times New Roman" w:cs="Times New Roman"/>
                <w:sz w:val="24"/>
                <w:szCs w:val="24"/>
              </w:rPr>
              <w:t xml:space="preserve"> </w:t>
            </w:r>
            <w:r>
              <w:rPr>
                <w:rFonts w:ascii="Times New Roman" w:hAnsi="Times New Roman" w:cs="Times New Roman"/>
                <w:sz w:val="24"/>
                <w:szCs w:val="24"/>
              </w:rPr>
              <w:t>城镇人口比重</w:t>
            </w:r>
          </w:p>
        </w:tc>
        <w:tc>
          <w:tcPr>
            <w:tcW w:w="3218" w:type="dxa"/>
            <w:noWrap w:val="0"/>
            <w:vAlign w:val="center"/>
          </w:tcPr>
          <w:p w14:paraId="76237895">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4149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116582E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b/>
                <w:sz w:val="24"/>
                <w:szCs w:val="24"/>
              </w:rPr>
              <w:t>二、民主法治</w:t>
            </w:r>
          </w:p>
        </w:tc>
      </w:tr>
      <w:tr w14:paraId="11464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3A74C7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5.</w:t>
            </w:r>
            <w:r>
              <w:rPr>
                <w:rFonts w:hint="eastAsia" w:ascii="Times New Roman" w:hAnsi="Times New Roman" w:cs="Times New Roman"/>
                <w:sz w:val="24"/>
                <w:szCs w:val="24"/>
              </w:rPr>
              <w:t xml:space="preserve"> </w:t>
            </w:r>
            <w:r>
              <w:rPr>
                <w:rFonts w:ascii="Times New Roman" w:hAnsi="Times New Roman" w:cs="Times New Roman"/>
                <w:sz w:val="24"/>
                <w:szCs w:val="24"/>
              </w:rPr>
              <w:t>基层民主参选率</w:t>
            </w:r>
          </w:p>
        </w:tc>
        <w:tc>
          <w:tcPr>
            <w:tcW w:w="3218" w:type="dxa"/>
            <w:noWrap w:val="0"/>
            <w:vAlign w:val="center"/>
          </w:tcPr>
          <w:p w14:paraId="69A9F141">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实现87.32%</w:t>
            </w:r>
          </w:p>
        </w:tc>
      </w:tr>
      <w:tr w14:paraId="2CB8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DA19AD2">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6.</w:t>
            </w:r>
            <w:r>
              <w:rPr>
                <w:rFonts w:hint="eastAsia" w:ascii="Times New Roman" w:hAnsi="Times New Roman" w:cs="Times New Roman"/>
                <w:sz w:val="24"/>
                <w:szCs w:val="24"/>
              </w:rPr>
              <w:t xml:space="preserve"> </w:t>
            </w:r>
            <w:r>
              <w:rPr>
                <w:rFonts w:ascii="Times New Roman" w:hAnsi="Times New Roman" w:cs="Times New Roman"/>
                <w:sz w:val="24"/>
                <w:szCs w:val="24"/>
              </w:rPr>
              <w:t>廉政指数</w:t>
            </w:r>
          </w:p>
        </w:tc>
        <w:tc>
          <w:tcPr>
            <w:tcW w:w="3218" w:type="dxa"/>
            <w:noWrap w:val="0"/>
            <w:vAlign w:val="center"/>
          </w:tcPr>
          <w:p w14:paraId="1BF7D121">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2ED0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1B3689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7.</w:t>
            </w:r>
            <w:r>
              <w:rPr>
                <w:rFonts w:hint="eastAsia" w:ascii="Times New Roman" w:hAnsi="Times New Roman" w:cs="Times New Roman"/>
                <w:sz w:val="24"/>
                <w:szCs w:val="24"/>
              </w:rPr>
              <w:t xml:space="preserve"> </w:t>
            </w:r>
            <w:r>
              <w:rPr>
                <w:rFonts w:ascii="Times New Roman" w:hAnsi="Times New Roman" w:cs="Times New Roman"/>
                <w:sz w:val="24"/>
                <w:szCs w:val="24"/>
              </w:rPr>
              <w:t>社会安全指数</w:t>
            </w:r>
          </w:p>
        </w:tc>
        <w:tc>
          <w:tcPr>
            <w:tcW w:w="3218" w:type="dxa"/>
            <w:noWrap w:val="0"/>
            <w:vAlign w:val="center"/>
          </w:tcPr>
          <w:p w14:paraId="5404D5D7">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实现77.68%</w:t>
            </w:r>
          </w:p>
        </w:tc>
      </w:tr>
      <w:tr w14:paraId="4D341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3F844CAE">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b/>
                <w:sz w:val="24"/>
                <w:szCs w:val="24"/>
              </w:rPr>
              <w:t>三、文化建设</w:t>
            </w:r>
          </w:p>
        </w:tc>
      </w:tr>
      <w:tr w14:paraId="3F9D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A8E09B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8.</w:t>
            </w:r>
            <w:r>
              <w:rPr>
                <w:rFonts w:hint="eastAsia" w:ascii="Times New Roman" w:hAnsi="Times New Roman" w:cs="Times New Roman"/>
                <w:sz w:val="24"/>
                <w:szCs w:val="24"/>
              </w:rPr>
              <w:t xml:space="preserve"> </w:t>
            </w:r>
            <w:r>
              <w:rPr>
                <w:rFonts w:ascii="Times New Roman" w:hAnsi="Times New Roman" w:cs="Times New Roman"/>
                <w:sz w:val="24"/>
                <w:szCs w:val="24"/>
              </w:rPr>
              <w:t>人均公共文化财政支出</w:t>
            </w:r>
          </w:p>
        </w:tc>
        <w:tc>
          <w:tcPr>
            <w:tcW w:w="3218" w:type="dxa"/>
            <w:noWrap w:val="0"/>
            <w:vAlign w:val="center"/>
          </w:tcPr>
          <w:p w14:paraId="4F811E9D">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完成92.86%</w:t>
            </w:r>
          </w:p>
        </w:tc>
      </w:tr>
      <w:tr w14:paraId="43161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A1175F8">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9.</w:t>
            </w:r>
            <w:r>
              <w:rPr>
                <w:rFonts w:hint="eastAsia" w:ascii="仿宋_GB2312" w:hAnsi="Times New Roman" w:cs="Times New Roman"/>
                <w:sz w:val="24"/>
                <w:szCs w:val="24"/>
              </w:rPr>
              <w:t>“三馆一站”覆</w:t>
            </w:r>
            <w:r>
              <w:rPr>
                <w:rFonts w:ascii="Times New Roman" w:hAnsi="Times New Roman" w:cs="Times New Roman"/>
                <w:sz w:val="24"/>
                <w:szCs w:val="24"/>
              </w:rPr>
              <w:t>盖率</w:t>
            </w:r>
          </w:p>
        </w:tc>
        <w:tc>
          <w:tcPr>
            <w:tcW w:w="3218" w:type="dxa"/>
            <w:noWrap w:val="0"/>
            <w:vAlign w:val="center"/>
          </w:tcPr>
          <w:p w14:paraId="37E92380">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5A19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921A0F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10.</w:t>
            </w:r>
            <w:r>
              <w:rPr>
                <w:rFonts w:hint="eastAsia" w:ascii="Times New Roman" w:hAnsi="Times New Roman" w:cs="Times New Roman"/>
                <w:sz w:val="24"/>
                <w:szCs w:val="24"/>
              </w:rPr>
              <w:t xml:space="preserve"> </w:t>
            </w:r>
            <w:r>
              <w:rPr>
                <w:rFonts w:ascii="Times New Roman" w:hAnsi="Times New Roman" w:cs="Times New Roman"/>
                <w:sz w:val="24"/>
                <w:szCs w:val="24"/>
              </w:rPr>
              <w:t>有线广播电视入户率</w:t>
            </w:r>
          </w:p>
        </w:tc>
        <w:tc>
          <w:tcPr>
            <w:tcW w:w="3218" w:type="dxa"/>
            <w:noWrap w:val="0"/>
            <w:vAlign w:val="center"/>
          </w:tcPr>
          <w:p w14:paraId="268F157A">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195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27CA653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b/>
                <w:sz w:val="24"/>
                <w:szCs w:val="24"/>
              </w:rPr>
              <w:t>四、人民生活</w:t>
            </w:r>
          </w:p>
        </w:tc>
      </w:tr>
      <w:tr w14:paraId="606E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36C3A00">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11.</w:t>
            </w:r>
            <w:r>
              <w:rPr>
                <w:rFonts w:hint="eastAsia" w:ascii="Times New Roman" w:hAnsi="Times New Roman" w:cs="Times New Roman"/>
                <w:sz w:val="24"/>
                <w:szCs w:val="24"/>
              </w:rPr>
              <w:t xml:space="preserve"> </w:t>
            </w:r>
            <w:r>
              <w:rPr>
                <w:rFonts w:ascii="Times New Roman" w:hAnsi="Times New Roman" w:cs="Times New Roman"/>
                <w:sz w:val="24"/>
                <w:szCs w:val="24"/>
              </w:rPr>
              <w:t>城乡居民收入比</w:t>
            </w:r>
          </w:p>
        </w:tc>
        <w:tc>
          <w:tcPr>
            <w:tcW w:w="3218" w:type="dxa"/>
            <w:noWrap w:val="0"/>
            <w:vAlign w:val="center"/>
          </w:tcPr>
          <w:p w14:paraId="05DD9C29">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sz w:val="24"/>
                <w:szCs w:val="24"/>
              </w:rPr>
              <w:t>国家全面小康</w:t>
            </w:r>
          </w:p>
        </w:tc>
      </w:tr>
      <w:tr w14:paraId="6D41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097596E5">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12.</w:t>
            </w:r>
            <w:r>
              <w:rPr>
                <w:rFonts w:hint="eastAsia" w:ascii="Times New Roman" w:hAnsi="Times New Roman" w:cs="Times New Roman"/>
                <w:sz w:val="24"/>
                <w:szCs w:val="24"/>
              </w:rPr>
              <w:t xml:space="preserve"> </w:t>
            </w:r>
            <w:r>
              <w:rPr>
                <w:rFonts w:ascii="Times New Roman" w:hAnsi="Times New Roman" w:cs="Times New Roman"/>
                <w:sz w:val="24"/>
                <w:szCs w:val="24"/>
              </w:rPr>
              <w:t>恩格尔系数</w:t>
            </w:r>
          </w:p>
        </w:tc>
        <w:tc>
          <w:tcPr>
            <w:tcW w:w="3218" w:type="dxa"/>
            <w:noWrap w:val="0"/>
            <w:vAlign w:val="center"/>
          </w:tcPr>
          <w:p w14:paraId="43A53646">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2F49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37810ABD">
            <w:pPr>
              <w:adjustRightInd w:val="0"/>
              <w:snapToGrid w:val="0"/>
              <w:spacing w:line="240" w:lineRule="auto"/>
              <w:ind w:firstLine="0" w:firstLineChars="0"/>
              <w:rPr>
                <w:rFonts w:hint="eastAsia" w:ascii="Times New Roman" w:hAnsi="Times New Roman" w:cs="Times New Roman"/>
                <w:sz w:val="24"/>
                <w:szCs w:val="24"/>
              </w:rPr>
            </w:pPr>
            <w:r>
              <w:rPr>
                <w:rFonts w:ascii="Times New Roman" w:hAnsi="Times New Roman" w:cs="Times New Roman"/>
                <w:sz w:val="24"/>
                <w:szCs w:val="24"/>
              </w:rPr>
              <w:t>13.</w:t>
            </w:r>
            <w:r>
              <w:rPr>
                <w:rFonts w:hint="eastAsia" w:ascii="Times New Roman" w:hAnsi="Times New Roman" w:cs="Times New Roman"/>
                <w:sz w:val="24"/>
                <w:szCs w:val="24"/>
              </w:rPr>
              <w:t xml:space="preserve"> </w:t>
            </w:r>
            <w:r>
              <w:rPr>
                <w:rFonts w:ascii="Times New Roman" w:hAnsi="Times New Roman" w:cs="Times New Roman"/>
                <w:sz w:val="24"/>
                <w:szCs w:val="24"/>
              </w:rPr>
              <w:t>城乡居民</w:t>
            </w:r>
            <w:r>
              <w:rPr>
                <w:rFonts w:hint="eastAsia" w:ascii="Times New Roman" w:hAnsi="Times New Roman" w:cs="Times New Roman"/>
                <w:sz w:val="24"/>
                <w:szCs w:val="24"/>
              </w:rPr>
              <w:t>人均</w:t>
            </w:r>
            <w:r>
              <w:rPr>
                <w:rFonts w:ascii="Times New Roman" w:hAnsi="Times New Roman" w:cs="Times New Roman"/>
                <w:sz w:val="24"/>
                <w:szCs w:val="24"/>
              </w:rPr>
              <w:t>收入</w:t>
            </w:r>
            <w:r>
              <w:rPr>
                <w:rFonts w:hint="eastAsia" w:ascii="Times New Roman" w:hAnsi="Times New Roman" w:cs="Times New Roman"/>
                <w:sz w:val="24"/>
                <w:szCs w:val="24"/>
              </w:rPr>
              <w:t>（2010年不变价）</w:t>
            </w:r>
          </w:p>
        </w:tc>
        <w:tc>
          <w:tcPr>
            <w:tcW w:w="3218" w:type="dxa"/>
            <w:noWrap w:val="0"/>
            <w:vAlign w:val="center"/>
          </w:tcPr>
          <w:p w14:paraId="4467830C">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实现94.72%</w:t>
            </w:r>
          </w:p>
        </w:tc>
      </w:tr>
      <w:tr w14:paraId="4D8A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D0830D9">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14.</w:t>
            </w:r>
            <w:r>
              <w:rPr>
                <w:rFonts w:hint="eastAsia" w:ascii="Times New Roman" w:hAnsi="Times New Roman" w:cs="Times New Roman"/>
                <w:sz w:val="24"/>
                <w:szCs w:val="24"/>
              </w:rPr>
              <w:t xml:space="preserve"> </w:t>
            </w:r>
            <w:r>
              <w:rPr>
                <w:rFonts w:ascii="Times New Roman" w:hAnsi="Times New Roman" w:cs="Times New Roman"/>
                <w:sz w:val="24"/>
                <w:szCs w:val="24"/>
              </w:rPr>
              <w:t>城乡居民人均住房使用面积</w:t>
            </w:r>
          </w:p>
        </w:tc>
        <w:tc>
          <w:tcPr>
            <w:tcW w:w="3218" w:type="dxa"/>
            <w:noWrap w:val="0"/>
            <w:vAlign w:val="center"/>
          </w:tcPr>
          <w:p w14:paraId="6F77CA62">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sz w:val="24"/>
                <w:szCs w:val="24"/>
              </w:rPr>
              <w:t>国家全面小康</w:t>
            </w:r>
          </w:p>
        </w:tc>
      </w:tr>
      <w:tr w14:paraId="657F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E9DD0E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15.</w:t>
            </w:r>
            <w:r>
              <w:rPr>
                <w:rFonts w:hint="eastAsia" w:ascii="Times New Roman" w:hAnsi="Times New Roman" w:cs="Times New Roman"/>
                <w:sz w:val="24"/>
                <w:szCs w:val="24"/>
              </w:rPr>
              <w:t xml:space="preserve"> </w:t>
            </w:r>
            <w:r>
              <w:rPr>
                <w:rFonts w:ascii="Times New Roman" w:hAnsi="Times New Roman" w:cs="Times New Roman"/>
                <w:sz w:val="24"/>
                <w:szCs w:val="24"/>
              </w:rPr>
              <w:t>基本社会保险覆盖率</w:t>
            </w:r>
          </w:p>
        </w:tc>
        <w:tc>
          <w:tcPr>
            <w:tcW w:w="3218" w:type="dxa"/>
            <w:noWrap w:val="0"/>
            <w:vAlign w:val="center"/>
          </w:tcPr>
          <w:p w14:paraId="3587AB8A">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实现63.15%</w:t>
            </w:r>
          </w:p>
        </w:tc>
      </w:tr>
      <w:tr w14:paraId="12EB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A909FCD">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16.</w:t>
            </w:r>
            <w:r>
              <w:rPr>
                <w:rFonts w:hint="eastAsia" w:ascii="Times New Roman" w:hAnsi="Times New Roman" w:cs="Times New Roman"/>
                <w:sz w:val="24"/>
                <w:szCs w:val="24"/>
              </w:rPr>
              <w:t xml:space="preserve"> </w:t>
            </w:r>
            <w:r>
              <w:rPr>
                <w:rFonts w:ascii="Times New Roman" w:hAnsi="Times New Roman" w:cs="Times New Roman"/>
                <w:sz w:val="24"/>
                <w:szCs w:val="24"/>
              </w:rPr>
              <w:t>卫生发展指数</w:t>
            </w:r>
          </w:p>
        </w:tc>
        <w:tc>
          <w:tcPr>
            <w:tcW w:w="3218" w:type="dxa"/>
            <w:noWrap w:val="0"/>
            <w:vAlign w:val="center"/>
          </w:tcPr>
          <w:p w14:paraId="2AD384CD">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7421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EDB7B9C">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17.</w:t>
            </w:r>
            <w:r>
              <w:rPr>
                <w:rFonts w:hint="eastAsia" w:ascii="Times New Roman" w:hAnsi="Times New Roman" w:cs="Times New Roman"/>
                <w:sz w:val="24"/>
                <w:szCs w:val="24"/>
              </w:rPr>
              <w:t xml:space="preserve"> </w:t>
            </w:r>
            <w:r>
              <w:rPr>
                <w:rFonts w:ascii="Times New Roman" w:hAnsi="Times New Roman" w:cs="Times New Roman"/>
                <w:sz w:val="24"/>
                <w:szCs w:val="24"/>
              </w:rPr>
              <w:t>高中阶段学生毛入学率</w:t>
            </w:r>
          </w:p>
        </w:tc>
        <w:tc>
          <w:tcPr>
            <w:tcW w:w="3218" w:type="dxa"/>
            <w:noWrap w:val="0"/>
            <w:vAlign w:val="center"/>
          </w:tcPr>
          <w:p w14:paraId="1E50F5D0">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8260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614EEB1">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18.</w:t>
            </w:r>
            <w:r>
              <w:rPr>
                <w:rFonts w:hint="eastAsia" w:ascii="Times New Roman" w:hAnsi="Times New Roman" w:cs="Times New Roman"/>
                <w:sz w:val="24"/>
                <w:szCs w:val="24"/>
              </w:rPr>
              <w:t xml:space="preserve"> </w:t>
            </w:r>
            <w:r>
              <w:rPr>
                <w:rFonts w:ascii="Times New Roman" w:hAnsi="Times New Roman" w:cs="Times New Roman"/>
                <w:sz w:val="24"/>
                <w:szCs w:val="24"/>
              </w:rPr>
              <w:t>5岁以下儿童死亡率</w:t>
            </w:r>
          </w:p>
        </w:tc>
        <w:tc>
          <w:tcPr>
            <w:tcW w:w="3218" w:type="dxa"/>
            <w:noWrap w:val="0"/>
            <w:vAlign w:val="center"/>
          </w:tcPr>
          <w:p w14:paraId="32D613B1">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158C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FC1E9E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19.</w:t>
            </w:r>
            <w:r>
              <w:rPr>
                <w:rFonts w:hint="eastAsia" w:ascii="Times New Roman" w:hAnsi="Times New Roman" w:cs="Times New Roman"/>
                <w:sz w:val="24"/>
                <w:szCs w:val="24"/>
              </w:rPr>
              <w:t xml:space="preserve"> </w:t>
            </w:r>
            <w:r>
              <w:rPr>
                <w:rFonts w:ascii="Times New Roman" w:hAnsi="Times New Roman" w:cs="Times New Roman"/>
                <w:sz w:val="24"/>
                <w:szCs w:val="24"/>
              </w:rPr>
              <w:t>农村自来水普及率</w:t>
            </w:r>
          </w:p>
        </w:tc>
        <w:tc>
          <w:tcPr>
            <w:tcW w:w="3218" w:type="dxa"/>
            <w:noWrap w:val="0"/>
            <w:vAlign w:val="center"/>
          </w:tcPr>
          <w:p w14:paraId="3B1C2617">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23A64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00C2A23C">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20.</w:t>
            </w:r>
            <w:r>
              <w:rPr>
                <w:rFonts w:hint="eastAsia" w:ascii="Times New Roman" w:hAnsi="Times New Roman" w:cs="Times New Roman"/>
                <w:sz w:val="24"/>
                <w:szCs w:val="24"/>
              </w:rPr>
              <w:t xml:space="preserve"> </w:t>
            </w:r>
            <w:r>
              <w:rPr>
                <w:rFonts w:ascii="Times New Roman" w:hAnsi="Times New Roman" w:cs="Times New Roman"/>
                <w:sz w:val="24"/>
                <w:szCs w:val="24"/>
              </w:rPr>
              <w:t>农村卫生厕所普及率</w:t>
            </w:r>
          </w:p>
        </w:tc>
        <w:tc>
          <w:tcPr>
            <w:tcW w:w="3218" w:type="dxa"/>
            <w:noWrap w:val="0"/>
            <w:vAlign w:val="center"/>
          </w:tcPr>
          <w:p w14:paraId="5D349FB2">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3BCF3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gridSpan w:val="2"/>
            <w:noWrap w:val="0"/>
            <w:vAlign w:val="center"/>
          </w:tcPr>
          <w:p w14:paraId="6FCB9E03">
            <w:pPr>
              <w:adjustRightInd w:val="0"/>
              <w:snapToGrid w:val="0"/>
              <w:spacing w:line="240" w:lineRule="auto"/>
              <w:ind w:firstLine="0" w:firstLineChars="0"/>
              <w:rPr>
                <w:rFonts w:ascii="Times New Roman" w:hAnsi="Times New Roman" w:cs="Times New Roman"/>
                <w:b/>
                <w:sz w:val="24"/>
                <w:szCs w:val="24"/>
              </w:rPr>
            </w:pPr>
            <w:r>
              <w:rPr>
                <w:rFonts w:ascii="Times New Roman" w:hAnsi="Times New Roman" w:cs="Times New Roman"/>
                <w:b/>
                <w:sz w:val="24"/>
                <w:szCs w:val="24"/>
              </w:rPr>
              <w:t>五、资源环境</w:t>
            </w:r>
          </w:p>
        </w:tc>
      </w:tr>
      <w:tr w14:paraId="1D8B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3327FD3D">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21.</w:t>
            </w:r>
            <w:r>
              <w:rPr>
                <w:rFonts w:hint="eastAsia" w:ascii="Times New Roman" w:hAnsi="Times New Roman" w:cs="Times New Roman"/>
                <w:sz w:val="24"/>
                <w:szCs w:val="24"/>
              </w:rPr>
              <w:t xml:space="preserve"> </w:t>
            </w:r>
            <w:r>
              <w:rPr>
                <w:rFonts w:ascii="Times New Roman" w:hAnsi="Times New Roman" w:cs="Times New Roman"/>
                <w:sz w:val="24"/>
                <w:szCs w:val="24"/>
              </w:rPr>
              <w:t>单位GDP能耗</w:t>
            </w:r>
          </w:p>
        </w:tc>
        <w:tc>
          <w:tcPr>
            <w:tcW w:w="3218" w:type="dxa"/>
            <w:noWrap w:val="0"/>
            <w:vAlign w:val="center"/>
          </w:tcPr>
          <w:p w14:paraId="2B198A7A">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3B56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1DB26C5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22.</w:t>
            </w:r>
            <w:r>
              <w:rPr>
                <w:rFonts w:hint="eastAsia" w:ascii="Times New Roman" w:hAnsi="Times New Roman" w:cs="Times New Roman"/>
                <w:sz w:val="24"/>
                <w:szCs w:val="24"/>
              </w:rPr>
              <w:t xml:space="preserve"> </w:t>
            </w:r>
            <w:r>
              <w:rPr>
                <w:rFonts w:ascii="Times New Roman" w:hAnsi="Times New Roman" w:cs="Times New Roman"/>
                <w:sz w:val="24"/>
                <w:szCs w:val="24"/>
              </w:rPr>
              <w:t>城市建成区绿化覆盖率</w:t>
            </w:r>
          </w:p>
        </w:tc>
        <w:tc>
          <w:tcPr>
            <w:tcW w:w="3218" w:type="dxa"/>
            <w:noWrap w:val="0"/>
            <w:vAlign w:val="center"/>
          </w:tcPr>
          <w:p w14:paraId="748DBFDA">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r w14:paraId="0955E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7ECAD21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23.</w:t>
            </w:r>
            <w:r>
              <w:rPr>
                <w:rFonts w:hint="eastAsia" w:ascii="Times New Roman" w:hAnsi="Times New Roman" w:cs="Times New Roman"/>
                <w:sz w:val="24"/>
                <w:szCs w:val="24"/>
              </w:rPr>
              <w:t xml:space="preserve"> </w:t>
            </w:r>
            <w:r>
              <w:rPr>
                <w:rFonts w:ascii="Times New Roman" w:hAnsi="Times New Roman" w:cs="Times New Roman"/>
                <w:sz w:val="24"/>
                <w:szCs w:val="24"/>
              </w:rPr>
              <w:t>地表水达标率</w:t>
            </w:r>
          </w:p>
        </w:tc>
        <w:tc>
          <w:tcPr>
            <w:tcW w:w="3218" w:type="dxa"/>
            <w:noWrap w:val="0"/>
            <w:vAlign w:val="center"/>
          </w:tcPr>
          <w:p w14:paraId="7757DF82">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sz w:val="24"/>
                <w:szCs w:val="24"/>
              </w:rPr>
              <w:t>国家全面小康</w:t>
            </w:r>
          </w:p>
        </w:tc>
      </w:tr>
      <w:tr w14:paraId="39F1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2D6B5286">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24.</w:t>
            </w:r>
            <w:r>
              <w:rPr>
                <w:rFonts w:hint="eastAsia" w:ascii="Times New Roman" w:hAnsi="Times New Roman" w:cs="Times New Roman"/>
                <w:sz w:val="24"/>
                <w:szCs w:val="24"/>
              </w:rPr>
              <w:t xml:space="preserve"> </w:t>
            </w:r>
            <w:r>
              <w:rPr>
                <w:rFonts w:ascii="Times New Roman" w:hAnsi="Times New Roman" w:cs="Times New Roman"/>
                <w:sz w:val="24"/>
                <w:szCs w:val="24"/>
              </w:rPr>
              <w:t>城市空气质量达标率</w:t>
            </w:r>
          </w:p>
        </w:tc>
        <w:tc>
          <w:tcPr>
            <w:tcW w:w="3218" w:type="dxa"/>
            <w:noWrap w:val="0"/>
            <w:vAlign w:val="center"/>
          </w:tcPr>
          <w:p w14:paraId="19CF3BCB">
            <w:pPr>
              <w:adjustRightInd w:val="0"/>
              <w:snapToGrid w:val="0"/>
              <w:spacing w:line="240" w:lineRule="auto"/>
              <w:ind w:firstLine="0" w:firstLineChars="0"/>
              <w:jc w:val="center"/>
              <w:rPr>
                <w:rFonts w:ascii="Times New Roman" w:hAnsi="Times New Roman" w:cs="Times New Roman"/>
                <w:b/>
                <w:sz w:val="24"/>
                <w:szCs w:val="24"/>
              </w:rPr>
            </w:pPr>
            <w:r>
              <w:rPr>
                <w:rFonts w:ascii="Times New Roman" w:hAnsi="Times New Roman" w:cs="Times New Roman"/>
                <w:b/>
                <w:sz w:val="24"/>
                <w:szCs w:val="24"/>
              </w:rPr>
              <w:t>实现79.05%</w:t>
            </w:r>
          </w:p>
        </w:tc>
      </w:tr>
      <w:tr w14:paraId="690A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14" w:type="dxa"/>
            <w:noWrap w:val="0"/>
            <w:vAlign w:val="center"/>
          </w:tcPr>
          <w:p w14:paraId="5A14DD6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25.</w:t>
            </w:r>
            <w:r>
              <w:rPr>
                <w:rFonts w:hint="eastAsia" w:ascii="Times New Roman" w:hAnsi="Times New Roman" w:cs="Times New Roman"/>
                <w:sz w:val="24"/>
                <w:szCs w:val="24"/>
              </w:rPr>
              <w:t xml:space="preserve"> </w:t>
            </w:r>
            <w:r>
              <w:rPr>
                <w:rFonts w:ascii="Times New Roman" w:hAnsi="Times New Roman" w:cs="Times New Roman"/>
                <w:sz w:val="24"/>
                <w:szCs w:val="24"/>
              </w:rPr>
              <w:t>城乡生活垃圾无害化处理率</w:t>
            </w:r>
          </w:p>
        </w:tc>
        <w:tc>
          <w:tcPr>
            <w:tcW w:w="3218" w:type="dxa"/>
            <w:noWrap w:val="0"/>
            <w:vAlign w:val="center"/>
          </w:tcPr>
          <w:p w14:paraId="6668F183">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国家全面小康</w:t>
            </w:r>
          </w:p>
        </w:tc>
      </w:tr>
    </w:tbl>
    <w:p w14:paraId="2ACA3037">
      <w:pPr>
        <w:pStyle w:val="3"/>
        <w:spacing w:before="312" w:beforeLines="100" w:after="156" w:afterLines="50" w:line="520" w:lineRule="exact"/>
        <w:ind w:firstLine="0" w:firstLineChars="0"/>
        <w:jc w:val="center"/>
        <w:rPr>
          <w:rFonts w:hint="eastAsia" w:ascii="黑体" w:hAnsi="Times New Roman" w:eastAsia="黑体" w:cs="Times New Roman"/>
          <w:b w:val="0"/>
        </w:rPr>
      </w:pPr>
      <w:bookmarkStart w:id="17" w:name="_Toc438133170"/>
      <w:bookmarkStart w:id="18" w:name="_Toc439358305"/>
      <w:bookmarkStart w:id="19" w:name="_Toc437344082"/>
      <w:r>
        <w:rPr>
          <w:rFonts w:hint="eastAsia" w:ascii="黑体" w:hAnsi="Times New Roman" w:eastAsia="黑体" w:cs="Times New Roman"/>
          <w:b w:val="0"/>
        </w:rPr>
        <w:t>第二节  “十三五”面临机遇与挑战</w:t>
      </w:r>
      <w:bookmarkEnd w:id="17"/>
      <w:bookmarkEnd w:id="18"/>
      <w:bookmarkEnd w:id="19"/>
    </w:p>
    <w:p w14:paraId="50505BCC">
      <w:pPr>
        <w:adjustRightInd w:val="0"/>
        <w:snapToGrid w:val="0"/>
        <w:spacing w:line="610" w:lineRule="exact"/>
        <w:ind w:firstLine="640"/>
        <w:rPr>
          <w:rFonts w:ascii="Times New Roman" w:hAnsi="Times New Roman" w:cs="Times New Roman"/>
          <w:sz w:val="32"/>
          <w:szCs w:val="32"/>
        </w:rPr>
      </w:pPr>
      <w:bookmarkStart w:id="20" w:name="_Toc438133171"/>
      <w:bookmarkStart w:id="21" w:name="_Toc428312076"/>
      <w:bookmarkStart w:id="22" w:name="_Toc437344086"/>
      <w:r>
        <w:rPr>
          <w:rFonts w:hint="eastAsia" w:ascii="仿宋_GB2312" w:hAnsi="Times New Roman" w:cs="Times New Roman"/>
          <w:sz w:val="32"/>
          <w:szCs w:val="32"/>
        </w:rPr>
        <w:t>“十三五”时期是国际国内环境形势发生新变化、中国经济</w:t>
      </w:r>
      <w:r>
        <w:rPr>
          <w:rFonts w:ascii="Times New Roman" w:hAnsi="Times New Roman" w:cs="Times New Roman"/>
          <w:sz w:val="32"/>
          <w:szCs w:val="32"/>
        </w:rPr>
        <w:t>发展阶段进入新常态、兴庆区全面建</w:t>
      </w:r>
      <w:r>
        <w:rPr>
          <w:rFonts w:hint="eastAsia" w:ascii="Times New Roman" w:hAnsi="Times New Roman" w:cs="Times New Roman"/>
          <w:sz w:val="32"/>
          <w:szCs w:val="32"/>
          <w:lang w:eastAsia="zh-CN"/>
        </w:rPr>
        <w:t>成</w:t>
      </w:r>
      <w:r>
        <w:rPr>
          <w:rFonts w:ascii="Times New Roman" w:hAnsi="Times New Roman" w:cs="Times New Roman"/>
          <w:sz w:val="32"/>
          <w:szCs w:val="32"/>
        </w:rPr>
        <w:t>小康社会进入决胜阶段的关键五年。全面分</w:t>
      </w:r>
      <w:r>
        <w:rPr>
          <w:rFonts w:hint="eastAsia" w:ascii="仿宋_GB2312" w:hAnsi="Times New Roman" w:cs="Times New Roman"/>
          <w:sz w:val="32"/>
          <w:szCs w:val="32"/>
        </w:rPr>
        <w:t>析兴庆区“十三五”时期面临的发展环境，对于制定“十三五”发展规划尤</w:t>
      </w:r>
      <w:r>
        <w:rPr>
          <w:rFonts w:ascii="Times New Roman" w:hAnsi="Times New Roman" w:cs="Times New Roman"/>
          <w:sz w:val="32"/>
          <w:szCs w:val="32"/>
        </w:rPr>
        <w:t>为重要。</w:t>
      </w:r>
    </w:p>
    <w:p w14:paraId="56F8C9F1">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1、重大机遇</w:t>
      </w:r>
    </w:p>
    <w:p w14:paraId="6DC2F2C4">
      <w:pPr>
        <w:adjustRightInd w:val="0"/>
        <w:snapToGrid w:val="0"/>
        <w:spacing w:line="610" w:lineRule="exact"/>
        <w:ind w:firstLine="640"/>
        <w:rPr>
          <w:rFonts w:hint="eastAsia" w:ascii="仿宋_GB2312"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国家重大战略布局带来的机遇。</w:t>
      </w:r>
      <w:r>
        <w:rPr>
          <w:rFonts w:ascii="Times New Roman" w:hAnsi="Times New Roman" w:cs="Times New Roman"/>
          <w:sz w:val="32"/>
          <w:szCs w:val="32"/>
        </w:rPr>
        <w:t>国家提</w:t>
      </w:r>
      <w:r>
        <w:rPr>
          <w:rFonts w:hint="eastAsia" w:ascii="仿宋_GB2312" w:hAnsi="Times New Roman" w:cs="Times New Roman"/>
          <w:sz w:val="32"/>
          <w:szCs w:val="32"/>
        </w:rPr>
        <w:t>出“一带一路”、新一轮西部大开发等重大战略，自治区上下正全力实施“一带一路”</w:t>
      </w:r>
      <w:r>
        <w:rPr>
          <w:rFonts w:hint="eastAsia" w:ascii="仿宋_GB2312" w:hAnsi="Times New Roman" w:cs="Times New Roman"/>
          <w:sz w:val="32"/>
          <w:szCs w:val="32"/>
          <w:lang w:eastAsia="zh-CN"/>
        </w:rPr>
        <w:t>倡议</w:t>
      </w:r>
      <w:r>
        <w:rPr>
          <w:rFonts w:hint="eastAsia" w:ascii="仿宋_GB2312" w:hAnsi="Times New Roman" w:cs="Times New Roman"/>
          <w:sz w:val="32"/>
          <w:szCs w:val="32"/>
        </w:rPr>
        <w:t>，并加快内陆开放型经济试验区建设，滨河新区、综合保税区等重大项目的快速发展，为兴庆区今后开展更大范围、更高水平、更深层次的区域合作，打造新的经济增长点带来机遇。</w:t>
      </w:r>
    </w:p>
    <w:p w14:paraId="5FDF67FB">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经济新常态带来的机遇。</w:t>
      </w:r>
      <w:r>
        <w:rPr>
          <w:rFonts w:ascii="Times New Roman" w:hAnsi="Times New Roman" w:cs="Times New Roman"/>
          <w:sz w:val="32"/>
          <w:szCs w:val="32"/>
        </w:rPr>
        <w:t>当前我国经济进入新常态，国家更加重视服务业发展和生态环境建设。宁夏经济发展也进入了速度变化、结构优化、动力转换的新常态，但经济长期向好的基本面没有变，经济持续增长的良好支撑基础和条件没有变，为兴庆区稳增长、优化经济结构提供持久动力。</w:t>
      </w:r>
    </w:p>
    <w:p w14:paraId="2D8703F1">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技术革命带来的机遇。</w:t>
      </w:r>
      <w:r>
        <w:rPr>
          <w:rFonts w:ascii="Times New Roman" w:hAnsi="Times New Roman" w:cs="Times New Roman"/>
          <w:sz w:val="32"/>
          <w:szCs w:val="32"/>
        </w:rPr>
        <w:t>国家</w:t>
      </w:r>
      <w:r>
        <w:rPr>
          <w:rFonts w:hint="eastAsia" w:ascii="仿宋_GB2312" w:hAnsi="Times New Roman" w:cs="Times New Roman"/>
          <w:sz w:val="32"/>
          <w:szCs w:val="32"/>
        </w:rPr>
        <w:t>“互联网＋”行动</w:t>
      </w:r>
      <w:r>
        <w:rPr>
          <w:rFonts w:ascii="Times New Roman" w:hAnsi="Times New Roman" w:cs="Times New Roman"/>
          <w:sz w:val="32"/>
          <w:szCs w:val="32"/>
        </w:rPr>
        <w:t>的实施，促进了新一代信息技术与传统产业的创新融合，新的增长点和增长动能正在培育，扩大开放和深化改革的红利正在不断释放，有利于兴庆区传统产业的升级和新兴业态的培育，内生动力正在不断增强。</w:t>
      </w:r>
    </w:p>
    <w:p w14:paraId="74A8957A">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2、主要挑战</w:t>
      </w:r>
    </w:p>
    <w:p w14:paraId="3FD0075E">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自主创新能力的挑战。</w:t>
      </w:r>
      <w:r>
        <w:rPr>
          <w:rFonts w:ascii="Times New Roman" w:hAnsi="Times New Roman" w:cs="Times New Roman"/>
          <w:sz w:val="32"/>
          <w:szCs w:val="32"/>
        </w:rPr>
        <w:t>新常态背景下，兴庆区在发展中存在的深层次问题为商贸服务品牌、营销管理、市场开拓等自主创新能力薄弱，受周边县</w:t>
      </w:r>
      <w:r>
        <w:rPr>
          <w:rFonts w:hint="eastAsia" w:ascii="仿宋_GB2312" w:hAnsi="Times New Roman" w:cs="Times New Roman"/>
          <w:sz w:val="32"/>
          <w:szCs w:val="32"/>
        </w:rPr>
        <w:t>区的“追赶”，经济发展的竞争力逐渐削弱，对兴庆区发展质量“上台阶”带来</w:t>
      </w:r>
      <w:r>
        <w:rPr>
          <w:rFonts w:ascii="Times New Roman" w:hAnsi="Times New Roman" w:cs="Times New Roman"/>
          <w:sz w:val="32"/>
          <w:szCs w:val="32"/>
        </w:rPr>
        <w:t>挑战。</w:t>
      </w:r>
    </w:p>
    <w:p w14:paraId="5B1E9010">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要素支撑面临的挑战。</w:t>
      </w:r>
      <w:r>
        <w:rPr>
          <w:rFonts w:ascii="Times New Roman" w:hAnsi="Times New Roman" w:cs="Times New Roman"/>
          <w:sz w:val="32"/>
          <w:szCs w:val="32"/>
        </w:rPr>
        <w:t>兴庆区在发展中明显的短板表现为土地、人才、资本等生产要素对外部科技、金融资本等战略性高级资源吸纳能力不强，生产要素支撑保障条件仍然脆弱，区域要素资源的整合、开发还未做深做透。</w:t>
      </w:r>
    </w:p>
    <w:p w14:paraId="6116EFF0">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b/>
          <w:sz w:val="32"/>
          <w:szCs w:val="32"/>
        </w:rPr>
        <w:t>区域发展不协调的挑战。</w:t>
      </w:r>
      <w:r>
        <w:rPr>
          <w:rFonts w:ascii="Times New Roman" w:hAnsi="Times New Roman" w:cs="Times New Roman"/>
          <w:sz w:val="32"/>
          <w:szCs w:val="32"/>
        </w:rPr>
        <w:t>农村地区基础设施滞后，产业发展空间不足，差异化竞争性优势不明显；老城区危旧小区改造面积较大，交通压力大，公建设施不足，商贸同质化比较严重，提高公共服务质量，居民收入快速增长难度较大。</w:t>
      </w:r>
    </w:p>
    <w:p w14:paraId="1D13FB23">
      <w:pPr>
        <w:ind w:firstLine="600"/>
        <w:rPr>
          <w:rFonts w:ascii="Times New Roman" w:hAnsi="Times New Roman" w:cs="Times New Roman"/>
        </w:rPr>
      </w:pPr>
      <w:bookmarkStart w:id="23" w:name="_Toc439358306"/>
    </w:p>
    <w:p w14:paraId="153A5B2A">
      <w:pPr>
        <w:ind w:firstLine="600"/>
        <w:rPr>
          <w:rFonts w:ascii="Times New Roman" w:hAnsi="Times New Roman" w:cs="Times New Roman"/>
        </w:rPr>
      </w:pPr>
    </w:p>
    <w:p w14:paraId="4A1A371A">
      <w:pPr>
        <w:ind w:firstLine="600"/>
        <w:rPr>
          <w:rFonts w:ascii="Times New Roman" w:hAnsi="Times New Roman" w:cs="Times New Roman"/>
        </w:rPr>
      </w:pPr>
    </w:p>
    <w:p w14:paraId="60EE76F9">
      <w:pPr>
        <w:ind w:firstLine="600"/>
        <w:rPr>
          <w:rFonts w:hint="eastAsia" w:ascii="Times New Roman" w:hAnsi="Times New Roman" w:cs="Times New Roman"/>
        </w:rPr>
      </w:pPr>
    </w:p>
    <w:p w14:paraId="259A2950">
      <w:pPr>
        <w:ind w:firstLine="600"/>
        <w:rPr>
          <w:rFonts w:hint="eastAsia" w:ascii="Times New Roman" w:hAnsi="Times New Roman" w:cs="Times New Roman"/>
        </w:rPr>
      </w:pPr>
    </w:p>
    <w:p w14:paraId="4E486FDA">
      <w:pPr>
        <w:ind w:firstLine="600"/>
        <w:rPr>
          <w:rFonts w:hint="eastAsia" w:ascii="Times New Roman" w:hAnsi="Times New Roman" w:cs="Times New Roman"/>
        </w:rPr>
      </w:pPr>
    </w:p>
    <w:p w14:paraId="48663B83">
      <w:pPr>
        <w:ind w:firstLine="600"/>
        <w:rPr>
          <w:rFonts w:hint="eastAsia" w:ascii="Times New Roman" w:hAnsi="Times New Roman" w:cs="Times New Roman"/>
        </w:rPr>
      </w:pPr>
    </w:p>
    <w:p w14:paraId="6B97E9C3">
      <w:pPr>
        <w:ind w:firstLine="600"/>
        <w:rPr>
          <w:rFonts w:hint="eastAsia" w:ascii="Times New Roman" w:hAnsi="Times New Roman" w:cs="Times New Roman"/>
        </w:rPr>
      </w:pPr>
    </w:p>
    <w:p w14:paraId="6B1945C6">
      <w:pPr>
        <w:ind w:firstLine="600"/>
        <w:rPr>
          <w:rFonts w:ascii="Times New Roman" w:hAnsi="Times New Roman" w:cs="Times New Roman"/>
        </w:rPr>
      </w:pPr>
    </w:p>
    <w:p w14:paraId="3AEDB6BB">
      <w:pPr>
        <w:pStyle w:val="2"/>
        <w:spacing w:before="0" w:beforeLines="0" w:after="0" w:afterLines="0" w:line="240" w:lineRule="exact"/>
        <w:ind w:firstLine="0" w:firstLineChars="0"/>
        <w:jc w:val="center"/>
        <w:rPr>
          <w:rFonts w:hint="eastAsia" w:eastAsia="方正小标宋_GBK"/>
          <w:b w:val="0"/>
        </w:rPr>
      </w:pPr>
    </w:p>
    <w:p w14:paraId="52C9B13D">
      <w:pPr>
        <w:pStyle w:val="2"/>
        <w:spacing w:before="156" w:beforeLines="50" w:after="0" w:afterLines="0" w:line="520" w:lineRule="exact"/>
        <w:ind w:firstLine="0" w:firstLineChars="0"/>
        <w:jc w:val="center"/>
        <w:rPr>
          <w:rFonts w:eastAsia="方正小标宋_GBK"/>
          <w:b w:val="0"/>
        </w:rPr>
      </w:pPr>
      <w:r>
        <w:rPr>
          <w:rFonts w:eastAsia="方正小标宋_GBK"/>
          <w:b w:val="0"/>
        </w:rPr>
        <w:t>第二章  总体战略</w:t>
      </w:r>
      <w:bookmarkEnd w:id="20"/>
      <w:bookmarkEnd w:id="21"/>
      <w:bookmarkEnd w:id="22"/>
      <w:bookmarkEnd w:id="23"/>
    </w:p>
    <w:p w14:paraId="03AD91CD">
      <w:pPr>
        <w:pStyle w:val="3"/>
        <w:spacing w:before="312" w:beforeLines="100" w:after="156" w:afterLines="50" w:line="520" w:lineRule="exact"/>
        <w:ind w:firstLine="0" w:firstLineChars="0"/>
        <w:jc w:val="center"/>
        <w:rPr>
          <w:rFonts w:hint="eastAsia" w:ascii="黑体" w:hAnsi="Times New Roman" w:eastAsia="黑体" w:cs="Times New Roman"/>
          <w:b w:val="0"/>
        </w:rPr>
      </w:pPr>
      <w:bookmarkStart w:id="24" w:name="_Toc439358307"/>
      <w:bookmarkStart w:id="25" w:name="_Toc438133172"/>
      <w:bookmarkStart w:id="26" w:name="_Toc437344087"/>
      <w:r>
        <w:rPr>
          <w:rFonts w:hint="eastAsia" w:ascii="黑体" w:hAnsi="Times New Roman" w:eastAsia="黑体" w:cs="Times New Roman"/>
          <w:b w:val="0"/>
        </w:rPr>
        <w:t>第一节  指导思想</w:t>
      </w:r>
      <w:bookmarkEnd w:id="24"/>
      <w:bookmarkEnd w:id="25"/>
      <w:bookmarkEnd w:id="26"/>
      <w:bookmarkStart w:id="27" w:name="_Toc428273389"/>
      <w:bookmarkStart w:id="28" w:name="_Toc428053192"/>
    </w:p>
    <w:bookmarkEnd w:id="27"/>
    <w:bookmarkEnd w:id="28"/>
    <w:p w14:paraId="6DF19BA6">
      <w:pPr>
        <w:spacing w:line="610" w:lineRule="exact"/>
        <w:ind w:firstLine="640"/>
        <w:rPr>
          <w:rFonts w:ascii="Times New Roman" w:hAnsi="Times New Roman" w:cs="Times New Roman"/>
          <w:sz w:val="32"/>
          <w:szCs w:val="32"/>
        </w:rPr>
      </w:pPr>
      <w:bookmarkStart w:id="29" w:name="_Toc437344090"/>
      <w:bookmarkStart w:id="30" w:name="_Toc438133173"/>
      <w:bookmarkStart w:id="31" w:name="_Toc439358308"/>
      <w:r>
        <w:rPr>
          <w:rFonts w:ascii="Times New Roman" w:hAnsi="Times New Roman" w:cs="Times New Roman"/>
          <w:sz w:val="32"/>
          <w:szCs w:val="32"/>
        </w:rPr>
        <w:t>高举中国特色社会主义伟大旗帜，全面贯彻党的十八大及十八届三中、四中、五中全会精神，</w:t>
      </w:r>
      <w:r>
        <w:rPr>
          <w:rFonts w:hint="eastAsia" w:ascii="Times New Roman" w:hAnsi="Times New Roman" w:cs="Times New Roman"/>
          <w:sz w:val="32"/>
          <w:szCs w:val="32"/>
        </w:rPr>
        <w:t>深入贯彻</w:t>
      </w:r>
      <w:bookmarkStart w:id="154" w:name="_GoBack"/>
      <w:bookmarkEnd w:id="154"/>
      <w:r>
        <w:rPr>
          <w:rFonts w:hint="eastAsia" w:ascii="Times New Roman" w:hAnsi="Times New Roman" w:cs="Times New Roman"/>
          <w:sz w:val="32"/>
          <w:szCs w:val="32"/>
        </w:rPr>
        <w:t>习近平新时代中国特色社会主义思想</w:t>
      </w:r>
      <w:r>
        <w:rPr>
          <w:rFonts w:ascii="Times New Roman" w:hAnsi="Times New Roman" w:cs="Times New Roman"/>
          <w:sz w:val="32"/>
          <w:szCs w:val="32"/>
        </w:rPr>
        <w:t>，认真</w:t>
      </w:r>
      <w:r>
        <w:rPr>
          <w:rFonts w:hint="eastAsia" w:ascii="仿宋_GB2312" w:hAnsi="Times New Roman" w:cs="Times New Roman"/>
          <w:sz w:val="32"/>
          <w:szCs w:val="32"/>
        </w:rPr>
        <w:t>落实“四个全面”战略布局，坚持“创新、协调、绿色、开放、共享”发展理念，按照自治区党委十一届七次全会及市委十三届六次全会部署，以提高经济发展质量和效益为中心，以创新争先、转型领先为主线，培育经济增长新动能，提升经济发展新形势，加快城镇化、信息化、农业现代化进程，加快形成以现代服务业为核心的新型产业体系，统筹推进经济、政治、文化、社会、生态文明建设，为</w:t>
      </w:r>
      <w:r>
        <w:rPr>
          <w:rFonts w:hint="eastAsia" w:hAnsi="仿宋_GB2312" w:eastAsia="仿宋_GB2312"/>
          <w:kern w:val="0"/>
          <w:sz w:val="32"/>
          <w:szCs w:val="32"/>
        </w:rPr>
        <w:t>实现经济繁荣、民族团结、环境优美、人民富裕，确保与全国同步建成全面小康社会</w:t>
      </w:r>
      <w:r>
        <w:rPr>
          <w:rFonts w:ascii="Times New Roman" w:hAnsi="Times New Roman" w:cs="Times New Roman"/>
          <w:sz w:val="32"/>
          <w:szCs w:val="32"/>
        </w:rPr>
        <w:t>而努力奋斗！</w:t>
      </w:r>
    </w:p>
    <w:p w14:paraId="322949B1">
      <w:pPr>
        <w:pStyle w:val="3"/>
        <w:spacing w:before="312" w:beforeLines="100" w:after="156" w:afterLines="50" w:line="520" w:lineRule="exact"/>
        <w:ind w:firstLine="0" w:firstLineChars="0"/>
        <w:jc w:val="center"/>
        <w:rPr>
          <w:rFonts w:hint="eastAsia" w:ascii="黑体" w:hAnsi="Times New Roman" w:eastAsia="黑体" w:cs="Times New Roman"/>
          <w:b w:val="0"/>
        </w:rPr>
      </w:pPr>
      <w:r>
        <w:rPr>
          <w:rFonts w:hint="eastAsia" w:ascii="黑体" w:hAnsi="Times New Roman" w:eastAsia="黑体" w:cs="Times New Roman"/>
          <w:b w:val="0"/>
        </w:rPr>
        <w:t>第二节  战略定位</w:t>
      </w:r>
      <w:bookmarkEnd w:id="29"/>
      <w:bookmarkEnd w:id="30"/>
      <w:bookmarkEnd w:id="31"/>
    </w:p>
    <w:p w14:paraId="3005811C">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1、战略定位</w:t>
      </w:r>
    </w:p>
    <w:p w14:paraId="16AEF569">
      <w:pPr>
        <w:adjustRightInd w:val="0"/>
        <w:snapToGrid w:val="0"/>
        <w:spacing w:line="610" w:lineRule="exact"/>
        <w:ind w:firstLine="643"/>
        <w:rPr>
          <w:rFonts w:hint="eastAsia" w:ascii="仿宋_GB2312" w:hAnsi="Times New Roman" w:cs="Times New Roman"/>
          <w:kern w:val="0"/>
          <w:sz w:val="32"/>
          <w:szCs w:val="32"/>
        </w:rPr>
      </w:pPr>
      <w:r>
        <w:rPr>
          <w:rFonts w:hint="eastAsia" w:ascii="仿宋_GB2312" w:hAnsi="Times New Roman" w:cs="Times New Roman"/>
          <w:b/>
          <w:sz w:val="32"/>
          <w:szCs w:val="32"/>
        </w:rPr>
        <w:t>“一带一路”</w:t>
      </w:r>
      <w:r>
        <w:rPr>
          <w:rFonts w:hint="eastAsia" w:ascii="仿宋_GB2312" w:hAnsi="Times New Roman" w:cs="Times New Roman"/>
          <w:b/>
          <w:sz w:val="32"/>
          <w:szCs w:val="32"/>
          <w:lang w:eastAsia="zh-CN"/>
        </w:rPr>
        <w:t>倡议</w:t>
      </w:r>
      <w:r>
        <w:rPr>
          <w:rFonts w:hint="eastAsia" w:ascii="仿宋_GB2312" w:hAnsi="Times New Roman" w:cs="Times New Roman"/>
          <w:b/>
          <w:sz w:val="32"/>
          <w:szCs w:val="32"/>
        </w:rPr>
        <w:t>的重要城市。</w:t>
      </w:r>
      <w:r>
        <w:rPr>
          <w:rFonts w:hint="eastAsia" w:ascii="仿宋_GB2312" w:hAnsi="Times New Roman" w:cs="Times New Roman"/>
          <w:kern w:val="0"/>
          <w:sz w:val="32"/>
          <w:szCs w:val="32"/>
        </w:rPr>
        <w:t>主动融入“一带一路”</w:t>
      </w:r>
      <w:r>
        <w:rPr>
          <w:rFonts w:hint="eastAsia" w:ascii="仿宋_GB2312" w:hAnsi="Times New Roman" w:cs="Times New Roman"/>
          <w:kern w:val="0"/>
          <w:sz w:val="32"/>
          <w:szCs w:val="32"/>
          <w:lang w:eastAsia="zh-CN"/>
        </w:rPr>
        <w:t>倡议</w:t>
      </w:r>
      <w:r>
        <w:rPr>
          <w:rFonts w:hint="eastAsia" w:ascii="仿宋_GB2312" w:hAnsi="Times New Roman" w:cs="Times New Roman"/>
          <w:kern w:val="0"/>
          <w:sz w:val="32"/>
          <w:szCs w:val="32"/>
        </w:rPr>
        <w:t>，构筑立体开放通道。依托河东机场与银川东部门户优势，借助建设银西高铁机遇，加强区域合作，打造宁夏对内开放平台；依托综保区与滨河新区基础，挖掘</w:t>
      </w:r>
      <w:r>
        <w:rPr>
          <w:rFonts w:hint="eastAsia" w:ascii="仿宋_GB2312" w:hAnsi="Times New Roman" w:cs="Times New Roman"/>
          <w:kern w:val="0"/>
          <w:sz w:val="32"/>
          <w:szCs w:val="32"/>
          <w:lang w:eastAsia="zh-CN"/>
        </w:rPr>
        <w:t>对外</w:t>
      </w:r>
      <w:r>
        <w:rPr>
          <w:rFonts w:hint="eastAsia" w:ascii="仿宋_GB2312" w:hAnsi="Times New Roman" w:cs="Times New Roman"/>
          <w:kern w:val="0"/>
          <w:sz w:val="32"/>
          <w:szCs w:val="32"/>
        </w:rPr>
        <w:t>合作的机遇，加大承接与</w:t>
      </w:r>
      <w:r>
        <w:rPr>
          <w:rFonts w:hint="eastAsia" w:ascii="仿宋_GB2312" w:hAnsi="Times New Roman" w:cs="Times New Roman"/>
          <w:kern w:val="0"/>
          <w:sz w:val="32"/>
          <w:szCs w:val="32"/>
          <w:lang w:eastAsia="zh-CN"/>
        </w:rPr>
        <w:t>国际</w:t>
      </w:r>
      <w:r>
        <w:rPr>
          <w:rFonts w:hint="eastAsia" w:ascii="仿宋_GB2312" w:hAnsi="Times New Roman" w:cs="Times New Roman"/>
          <w:kern w:val="0"/>
          <w:sz w:val="32"/>
          <w:szCs w:val="32"/>
        </w:rPr>
        <w:t>市场的经贸合作力度，打造宁夏对外开放窗口。</w:t>
      </w:r>
    </w:p>
    <w:p w14:paraId="634F0A99">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西北低空试点典范。</w:t>
      </w:r>
      <w:r>
        <w:rPr>
          <w:rFonts w:ascii="Times New Roman" w:hAnsi="Times New Roman" w:cs="Times New Roman"/>
          <w:sz w:val="32"/>
          <w:szCs w:val="32"/>
        </w:rPr>
        <w:t>紧抓低空开放机遇，探索发展新型通航产业，以建设高等级通航产业园和月牙湖乡特色现代通航小镇为目标，打造西北地区低空试点的示范区。</w:t>
      </w:r>
    </w:p>
    <w:p w14:paraId="284E25FE">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2、功能定位</w:t>
      </w:r>
    </w:p>
    <w:p w14:paraId="53576FE1">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西北区域商贸物流中心。</w:t>
      </w:r>
      <w:r>
        <w:rPr>
          <w:rFonts w:ascii="Times New Roman" w:hAnsi="Times New Roman" w:cs="Times New Roman"/>
          <w:sz w:val="32"/>
          <w:szCs w:val="32"/>
        </w:rPr>
        <w:t>进一步丰富商贸业态，充分发挥大银川都市区商贸服务核心区的聚集和辐射作用，加强</w:t>
      </w:r>
      <w:r>
        <w:rPr>
          <w:rFonts w:hint="eastAsia" w:ascii="Times New Roman" w:hAnsi="Times New Roman" w:cs="Times New Roman"/>
          <w:sz w:val="32"/>
          <w:szCs w:val="32"/>
          <w:lang w:eastAsia="zh-CN"/>
        </w:rPr>
        <w:t>对外</w:t>
      </w:r>
      <w:r>
        <w:rPr>
          <w:rFonts w:ascii="Times New Roman" w:hAnsi="Times New Roman" w:cs="Times New Roman"/>
          <w:sz w:val="32"/>
          <w:szCs w:val="32"/>
        </w:rPr>
        <w:t>交流合作，打造西北地区商贸物流集散基地，形成服务宁夏、辐射西北、联系国内、面向国际的开放格局。</w:t>
      </w:r>
    </w:p>
    <w:p w14:paraId="1B176849">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银川新兴服务业高地。</w:t>
      </w:r>
      <w:r>
        <w:rPr>
          <w:rFonts w:ascii="Times New Roman" w:hAnsi="Times New Roman" w:cs="Times New Roman"/>
          <w:sz w:val="32"/>
          <w:szCs w:val="32"/>
        </w:rPr>
        <w:t>注重以优势产业及中心城市综合配套条件为依托，强化商贸服务业、房地产业、物流业、旅游业、电子商务、金融服务业等相关产业的联动，培育新兴业态。</w:t>
      </w:r>
    </w:p>
    <w:p w14:paraId="53D3DDE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沿黄都市生态保育与城乡一体化发展示范区。</w:t>
      </w:r>
      <w:r>
        <w:rPr>
          <w:rFonts w:ascii="Times New Roman" w:hAnsi="Times New Roman" w:cs="Times New Roman"/>
          <w:sz w:val="32"/>
          <w:szCs w:val="32"/>
        </w:rPr>
        <w:t>推进掌政镇、通贵乡沿黄特色小城镇的建设，强化月牙湖生态涵养和现代农业，大力发展生态旅游、休闲体验、观光度假等业态，打造大银川都市圈的后花园，促进居民生活状态、生活方式、生活品质的提升。</w:t>
      </w:r>
    </w:p>
    <w:p w14:paraId="6C6E5FAF">
      <w:pPr>
        <w:pStyle w:val="3"/>
        <w:spacing w:before="312" w:beforeLines="100" w:after="156" w:afterLines="50" w:line="520" w:lineRule="exact"/>
        <w:ind w:firstLine="0" w:firstLineChars="0"/>
        <w:jc w:val="center"/>
        <w:rPr>
          <w:rFonts w:ascii="黑体" w:hAnsi="Times New Roman" w:eastAsia="黑体" w:cs="Times New Roman"/>
          <w:b w:val="0"/>
        </w:rPr>
      </w:pPr>
      <w:bookmarkStart w:id="32" w:name="_Toc439358309"/>
      <w:bookmarkStart w:id="33" w:name="_Toc437344092"/>
      <w:r>
        <w:rPr>
          <w:rFonts w:ascii="黑体" w:hAnsi="Times New Roman" w:eastAsia="黑体" w:cs="Times New Roman"/>
          <w:b w:val="0"/>
        </w:rPr>
        <w:t>第三节  发展目标</w:t>
      </w:r>
      <w:bookmarkEnd w:id="32"/>
      <w:bookmarkEnd w:id="33"/>
    </w:p>
    <w:p w14:paraId="6AE8DCFF">
      <w:pPr>
        <w:spacing w:line="610" w:lineRule="exact"/>
        <w:ind w:firstLine="640"/>
        <w:rPr>
          <w:rFonts w:hint="eastAsia" w:ascii="仿宋_GB2312" w:hAnsi="Times New Roman" w:cs="Times New Roman"/>
          <w:sz w:val="32"/>
          <w:szCs w:val="32"/>
        </w:rPr>
      </w:pPr>
      <w:bookmarkStart w:id="34" w:name="_Toc438132003"/>
      <w:r>
        <w:rPr>
          <w:rFonts w:hint="eastAsia" w:ascii="仿宋_GB2312" w:hAnsi="Times New Roman" w:cs="Times New Roman"/>
          <w:sz w:val="32"/>
          <w:szCs w:val="32"/>
        </w:rPr>
        <w:t>“十三五”时期兴庆区经济社会发展总体目标是，围绕“</w:t>
      </w:r>
      <w:r>
        <w:rPr>
          <w:rFonts w:hint="eastAsia" w:ascii="仿宋_GB2312" w:hAnsi="Times New Roman" w:cs="Times New Roman"/>
          <w:sz w:val="32"/>
          <w:szCs w:val="32"/>
          <w:lang w:eastAsia="zh-CN"/>
        </w:rPr>
        <w:t>建设</w:t>
      </w:r>
      <w:r>
        <w:rPr>
          <w:rFonts w:hint="eastAsia" w:hAnsi="仿宋_GB2312" w:eastAsia="仿宋_GB2312"/>
          <w:kern w:val="0"/>
          <w:sz w:val="32"/>
          <w:szCs w:val="32"/>
        </w:rPr>
        <w:t>经济繁荣、民族团结、环境优美、人民富裕</w:t>
      </w:r>
      <w:r>
        <w:rPr>
          <w:rFonts w:hint="eastAsia" w:hAnsi="仿宋_GB2312"/>
          <w:kern w:val="0"/>
          <w:sz w:val="32"/>
          <w:szCs w:val="32"/>
          <w:lang w:eastAsia="zh-CN"/>
        </w:rPr>
        <w:t>兴庆区</w:t>
      </w:r>
      <w:r>
        <w:rPr>
          <w:rFonts w:hint="eastAsia" w:hAnsi="仿宋_GB2312" w:eastAsia="仿宋_GB2312"/>
          <w:kern w:val="0"/>
          <w:sz w:val="32"/>
          <w:szCs w:val="32"/>
        </w:rPr>
        <w:t>，确保与全国同步建成全面小康社会</w:t>
      </w:r>
      <w:r>
        <w:rPr>
          <w:rFonts w:hint="eastAsia" w:ascii="仿宋_GB2312" w:hAnsi="Times New Roman" w:cs="Times New Roman"/>
          <w:sz w:val="32"/>
          <w:szCs w:val="32"/>
        </w:rPr>
        <w:t>”的总目标，更加注重提升发展质量和效益、更加注重培育新兴增长点、更加注重培育长远竞争力，全力推进经济提档升级，城乡一体化建设，民生事业提高，发展环境优化，为总体发展水平位居宁夏前列奠定坚实基础，形成创新、协调、绿色、开放、共享的新局面。</w:t>
      </w:r>
    </w:p>
    <w:p w14:paraId="35982FF5">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经济实力跨上新台阶。</w:t>
      </w:r>
      <w:r>
        <w:rPr>
          <w:rFonts w:ascii="Times New Roman" w:hAnsi="Times New Roman" w:eastAsia="仿宋_GB2312" w:cs="Times New Roman"/>
          <w:bCs/>
          <w:sz w:val="32"/>
          <w:szCs w:val="32"/>
        </w:rPr>
        <w:t>在提高发展质量基础上，经济增速高于宁夏平均水平，地区生产总值年均增速8%以上，到2020年地区生产总值、城乡居民收入比2010年翻一番；第三产业增加值年均增速10%；地方一般公共预算收入年均增速8.5%；全社会固定资产投资年均增速11 %以上；全社会研发经费支出占GDP比重力争达1.5%，科技进步对经济增长贡献率达65%。</w:t>
      </w:r>
    </w:p>
    <w:p w14:paraId="70E62BBC">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转型升级实现新突破。</w:t>
      </w:r>
      <w:r>
        <w:rPr>
          <w:rFonts w:ascii="Times New Roman" w:hAnsi="Times New Roman" w:eastAsia="仿宋_GB2312" w:cs="Times New Roman"/>
          <w:bCs/>
          <w:sz w:val="32"/>
          <w:szCs w:val="32"/>
        </w:rPr>
        <w:t>商贸服务业向中高端迈进，现代物流业形成辐射宁夏周边的中心，现代农业融合二三产业发展成为银川盛景，金融信息服务让城市经济更加时尚化，消费带动经济增长与投资拉动经济增长相得益彰，实现创业在兴庆、消费在兴庆，满意在兴庆。</w:t>
      </w:r>
    </w:p>
    <w:p w14:paraId="00DB485D">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城乡面貌开创新局面。</w:t>
      </w:r>
      <w:r>
        <w:rPr>
          <w:rFonts w:ascii="Times New Roman" w:hAnsi="Times New Roman" w:eastAsia="仿宋_GB2312" w:cs="Times New Roman"/>
          <w:bCs/>
          <w:sz w:val="32"/>
          <w:szCs w:val="32"/>
        </w:rPr>
        <w:t>着力推进统筹城乡发展，加强城乡规划和基础设施建设，城镇化率超过95%以上，保证15.12万亩基本农田红线不减少。完善老旧小区、特色小城镇和中心村基础设施，消除农村危房和散乱庄点，继续推</w:t>
      </w:r>
      <w:r>
        <w:rPr>
          <w:rFonts w:hint="eastAsia" w:ascii="仿宋_GB2312" w:hAnsi="Times New Roman" w:eastAsia="仿宋_GB2312" w:cs="Times New Roman"/>
          <w:bCs/>
          <w:sz w:val="32"/>
          <w:szCs w:val="32"/>
        </w:rPr>
        <w:t>进“洁净兴庆”</w:t>
      </w:r>
      <w:r>
        <w:rPr>
          <w:rFonts w:ascii="Times New Roman" w:hAnsi="Times New Roman" w:eastAsia="仿宋_GB2312" w:cs="Times New Roman"/>
          <w:bCs/>
          <w:sz w:val="32"/>
          <w:szCs w:val="32"/>
        </w:rPr>
        <w:t>工程，改造和提升道路通行力，加快文化体育等公共设施建设，不断满足人民群众日益增长的精神文化需求。</w:t>
      </w:r>
    </w:p>
    <w:p w14:paraId="587DA9FA">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人民生活得到新改善。</w:t>
      </w:r>
      <w:r>
        <w:rPr>
          <w:rFonts w:ascii="Times New Roman" w:hAnsi="Times New Roman" w:eastAsia="仿宋_GB2312" w:cs="Times New Roman"/>
          <w:bCs/>
          <w:sz w:val="32"/>
          <w:szCs w:val="32"/>
        </w:rPr>
        <w:t>城乡居民收入保持较快增长，城乡居民人均可支配收入年均分别增长9%、10%以上，城乡居民收入差距逐步缩小。进一步完善社会保障体系，大力发展教育、卫生、就业、文体、养老、社会福利等社会事业，加强科技创新，推进依法治区，确保每年公共财政投入80%以上用于民生事业，让广大人民群众共享改革发展的成果。到2020年，九年义务教育巩固率达到99%以上，高中教育毛入学率达到95%以上；人均预期寿命达到78岁，居民幸福指数继续提高。</w:t>
      </w:r>
    </w:p>
    <w:p w14:paraId="6F4F01B6">
      <w:pPr>
        <w:pStyle w:val="4"/>
        <w:spacing w:line="610" w:lineRule="exact"/>
        <w:ind w:firstLine="643"/>
        <w:jc w:val="both"/>
        <w:rPr>
          <w:rFonts w:ascii="Times New Roman" w:hAnsi="Times New Roman" w:eastAsia="仿宋_GB2312" w:cs="Times New Roman"/>
          <w:bCs/>
          <w:sz w:val="32"/>
          <w:szCs w:val="32"/>
        </w:rPr>
      </w:pPr>
      <w:r>
        <w:rPr>
          <w:rFonts w:ascii="Times New Roman" w:hAnsi="Times New Roman" w:eastAsia="仿宋_GB2312" w:cs="Times New Roman"/>
          <w:b/>
          <w:sz w:val="32"/>
          <w:szCs w:val="32"/>
        </w:rPr>
        <w:t>发展环境得到新优化。</w:t>
      </w:r>
      <w:r>
        <w:rPr>
          <w:rFonts w:ascii="Times New Roman" w:hAnsi="Times New Roman" w:eastAsia="仿宋_GB2312" w:cs="Times New Roman"/>
          <w:bCs/>
          <w:sz w:val="32"/>
          <w:szCs w:val="32"/>
        </w:rPr>
        <w:t>坚持绿色发展，资源利用效率明显提升，可持续发展能力进一步增强。空气污染指数（API）控制在100以内；化学需氧量、二氧化硫、氨氮、氮氧化物等主要污染物排放总量削减率达到自治区下达指标要求；生态环境得到有效保护，</w:t>
      </w:r>
      <w:r>
        <w:rPr>
          <w:rFonts w:ascii="Times New Roman" w:hAnsi="Times New Roman" w:eastAsia="仿宋_GB2312" w:cs="Times New Roman"/>
          <w:bCs/>
          <w:color w:val="000000"/>
          <w:sz w:val="32"/>
          <w:szCs w:val="32"/>
        </w:rPr>
        <w:t>森林覆盖率达到8%</w:t>
      </w:r>
      <w:r>
        <w:rPr>
          <w:rFonts w:ascii="Times New Roman" w:hAnsi="Times New Roman" w:eastAsia="仿宋_GB2312" w:cs="Times New Roman"/>
          <w:bCs/>
          <w:sz w:val="32"/>
          <w:szCs w:val="32"/>
        </w:rPr>
        <w:t>，城市建成区绿化覆盖率达到43%。坚持简政放权，加强党风廉政建设，提升行政效能，提高群众满意度，实现人与社会、环境的协调发展。</w:t>
      </w:r>
    </w:p>
    <w:p w14:paraId="3EBBDE64">
      <w:pPr>
        <w:pStyle w:val="4"/>
        <w:spacing w:after="62" w:afterLines="20" w:line="580" w:lineRule="exact"/>
        <w:ind w:firstLine="0" w:firstLineChars="0"/>
        <w:jc w:val="center"/>
        <w:rPr>
          <w:rFonts w:hint="eastAsia" w:ascii="仿宋_GB2312" w:hAnsi="Times New Roman" w:eastAsia="仿宋_GB2312" w:cs="Times New Roman"/>
          <w:b/>
          <w:sz w:val="24"/>
          <w:szCs w:val="24"/>
        </w:rPr>
      </w:pPr>
      <w:bookmarkStart w:id="35" w:name="_Toc441134504"/>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3</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“十三五”时期经济社会发展目标</w:t>
      </w:r>
      <w:bookmarkEnd w:id="34"/>
      <w:bookmarkEnd w:id="35"/>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837"/>
        <w:gridCol w:w="5448"/>
        <w:gridCol w:w="1356"/>
        <w:gridCol w:w="1255"/>
      </w:tblGrid>
      <w:tr w14:paraId="5014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noWrap w:val="0"/>
            <w:vAlign w:val="center"/>
          </w:tcPr>
          <w:p w14:paraId="24BC7756">
            <w:pPr>
              <w:adjustRightInd w:val="0"/>
              <w:snapToGrid w:val="0"/>
              <w:spacing w:line="240" w:lineRule="auto"/>
              <w:ind w:firstLine="0" w:firstLineChars="0"/>
              <w:jc w:val="center"/>
              <w:rPr>
                <w:rFonts w:ascii="Times New Roman" w:hAnsi="Times New Roman" w:cs="Times New Roman"/>
                <w:b/>
                <w:sz w:val="24"/>
                <w:szCs w:val="24"/>
              </w:rPr>
            </w:pPr>
          </w:p>
        </w:tc>
        <w:tc>
          <w:tcPr>
            <w:tcW w:w="837" w:type="dxa"/>
            <w:noWrap w:val="0"/>
            <w:vAlign w:val="center"/>
          </w:tcPr>
          <w:p w14:paraId="27FB2B58">
            <w:pPr>
              <w:adjustRightInd w:val="0"/>
              <w:snapToGrid w:val="0"/>
              <w:spacing w:line="240" w:lineRule="auto"/>
              <w:ind w:firstLine="0" w:firstLineChars="0"/>
              <w:jc w:val="center"/>
              <w:rPr>
                <w:rFonts w:ascii="Times New Roman" w:hAnsi="Times New Roman" w:cs="Times New Roman"/>
                <w:b/>
                <w:sz w:val="24"/>
                <w:szCs w:val="24"/>
              </w:rPr>
            </w:pPr>
          </w:p>
        </w:tc>
        <w:tc>
          <w:tcPr>
            <w:tcW w:w="5448" w:type="dxa"/>
            <w:noWrap w:val="0"/>
            <w:vAlign w:val="center"/>
          </w:tcPr>
          <w:p w14:paraId="03E37FF9">
            <w:pPr>
              <w:adjustRightInd w:val="0"/>
              <w:snapToGrid w:val="0"/>
              <w:spacing w:line="240" w:lineRule="auto"/>
              <w:ind w:firstLine="0" w:firstLineChars="0"/>
              <w:jc w:val="center"/>
              <w:rPr>
                <w:rFonts w:ascii="Times New Roman" w:hAnsi="Times New Roman" w:cs="Times New Roman"/>
                <w:b/>
                <w:sz w:val="24"/>
                <w:szCs w:val="24"/>
              </w:rPr>
            </w:pPr>
          </w:p>
        </w:tc>
        <w:tc>
          <w:tcPr>
            <w:tcW w:w="1356" w:type="dxa"/>
            <w:noWrap w:val="0"/>
            <w:vAlign w:val="center"/>
          </w:tcPr>
          <w:p w14:paraId="0C1434DA">
            <w:pPr>
              <w:adjustRightInd w:val="0"/>
              <w:snapToGrid w:val="0"/>
              <w:spacing w:line="240" w:lineRule="auto"/>
              <w:ind w:firstLine="0" w:firstLineChars="0"/>
              <w:jc w:val="center"/>
              <w:rPr>
                <w:rFonts w:ascii="Times New Roman" w:hAnsi="Times New Roman" w:cs="Times New Roman"/>
                <w:b/>
                <w:sz w:val="24"/>
                <w:szCs w:val="24"/>
              </w:rPr>
            </w:pPr>
            <w:bookmarkStart w:id="36" w:name="_Toc438133174"/>
            <w:r>
              <w:rPr>
                <w:rFonts w:ascii="Times New Roman" w:hAnsi="Times New Roman" w:cs="Times New Roman"/>
                <w:b/>
                <w:sz w:val="24"/>
                <w:szCs w:val="24"/>
              </w:rPr>
              <w:t>十三五</w:t>
            </w:r>
            <w:bookmarkEnd w:id="36"/>
          </w:p>
        </w:tc>
        <w:tc>
          <w:tcPr>
            <w:tcW w:w="1255" w:type="dxa"/>
            <w:noWrap w:val="0"/>
            <w:vAlign w:val="center"/>
          </w:tcPr>
          <w:p w14:paraId="127B82C4">
            <w:pPr>
              <w:adjustRightInd w:val="0"/>
              <w:snapToGrid w:val="0"/>
              <w:spacing w:line="240" w:lineRule="auto"/>
              <w:ind w:firstLine="0" w:firstLineChars="0"/>
              <w:jc w:val="center"/>
              <w:rPr>
                <w:rFonts w:ascii="Times New Roman" w:hAnsi="Times New Roman" w:cs="Times New Roman"/>
                <w:b/>
                <w:sz w:val="24"/>
                <w:szCs w:val="24"/>
              </w:rPr>
            </w:pPr>
            <w:bookmarkStart w:id="37" w:name="_Toc438133175"/>
            <w:r>
              <w:rPr>
                <w:rFonts w:ascii="Times New Roman" w:hAnsi="Times New Roman" w:cs="Times New Roman"/>
                <w:b/>
                <w:sz w:val="24"/>
                <w:szCs w:val="24"/>
              </w:rPr>
              <w:t>十二五</w:t>
            </w:r>
            <w:bookmarkEnd w:id="37"/>
          </w:p>
        </w:tc>
      </w:tr>
      <w:tr w14:paraId="61B1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restart"/>
            <w:noWrap w:val="0"/>
            <w:vAlign w:val="center"/>
          </w:tcPr>
          <w:p w14:paraId="701EE39F">
            <w:pPr>
              <w:adjustRightInd w:val="0"/>
              <w:snapToGrid w:val="0"/>
              <w:spacing w:line="240" w:lineRule="auto"/>
              <w:ind w:firstLine="0" w:firstLineChars="0"/>
              <w:jc w:val="center"/>
              <w:rPr>
                <w:rFonts w:ascii="Times New Roman" w:hAnsi="Times New Roman" w:cs="Times New Roman"/>
                <w:sz w:val="24"/>
                <w:szCs w:val="24"/>
              </w:rPr>
            </w:pPr>
            <w:bookmarkStart w:id="38" w:name="_Toc438133176"/>
            <w:r>
              <w:rPr>
                <w:rFonts w:ascii="Times New Roman" w:hAnsi="Times New Roman" w:cs="Times New Roman"/>
                <w:sz w:val="24"/>
                <w:szCs w:val="24"/>
              </w:rPr>
              <w:t>发</w:t>
            </w:r>
            <w:bookmarkEnd w:id="38"/>
            <w:bookmarkStart w:id="39" w:name="_Toc438133177"/>
          </w:p>
          <w:p w14:paraId="31E21CB8">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展</w:t>
            </w:r>
            <w:bookmarkEnd w:id="39"/>
            <w:bookmarkStart w:id="40" w:name="_Toc438133178"/>
          </w:p>
          <w:p w14:paraId="234912C7">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性</w:t>
            </w:r>
            <w:bookmarkEnd w:id="40"/>
            <w:bookmarkStart w:id="41" w:name="_Toc438133179"/>
          </w:p>
          <w:p w14:paraId="2C726402">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指</w:t>
            </w:r>
            <w:bookmarkEnd w:id="41"/>
            <w:bookmarkStart w:id="42" w:name="_Toc438133180"/>
          </w:p>
          <w:p w14:paraId="158A6AA1">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标</w:t>
            </w:r>
            <w:bookmarkEnd w:id="42"/>
          </w:p>
        </w:tc>
        <w:tc>
          <w:tcPr>
            <w:tcW w:w="837" w:type="dxa"/>
            <w:vMerge w:val="restart"/>
            <w:noWrap w:val="0"/>
            <w:vAlign w:val="center"/>
          </w:tcPr>
          <w:p w14:paraId="2279FE0C">
            <w:pPr>
              <w:adjustRightInd w:val="0"/>
              <w:snapToGrid w:val="0"/>
              <w:spacing w:line="240" w:lineRule="auto"/>
              <w:ind w:firstLine="0" w:firstLineChars="0"/>
              <w:jc w:val="center"/>
              <w:rPr>
                <w:rFonts w:ascii="Times New Roman" w:hAnsi="Times New Roman" w:cs="Times New Roman"/>
                <w:sz w:val="24"/>
                <w:szCs w:val="24"/>
              </w:rPr>
            </w:pPr>
            <w:bookmarkStart w:id="43" w:name="_Toc438133181"/>
            <w:r>
              <w:rPr>
                <w:rFonts w:ascii="Times New Roman" w:hAnsi="Times New Roman" w:cs="Times New Roman"/>
                <w:sz w:val="24"/>
                <w:szCs w:val="24"/>
              </w:rPr>
              <w:t>经济发展</w:t>
            </w:r>
            <w:bookmarkEnd w:id="43"/>
          </w:p>
        </w:tc>
        <w:tc>
          <w:tcPr>
            <w:tcW w:w="5448" w:type="dxa"/>
            <w:noWrap w:val="0"/>
            <w:vAlign w:val="center"/>
          </w:tcPr>
          <w:p w14:paraId="32CB39D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国内生产总值增速（同比增幅，不变价）（%）</w:t>
            </w:r>
          </w:p>
        </w:tc>
        <w:tc>
          <w:tcPr>
            <w:tcW w:w="1356" w:type="dxa"/>
            <w:noWrap w:val="0"/>
            <w:vAlign w:val="center"/>
          </w:tcPr>
          <w:p w14:paraId="03888F1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8以上</w:t>
            </w:r>
          </w:p>
        </w:tc>
        <w:tc>
          <w:tcPr>
            <w:tcW w:w="1255" w:type="dxa"/>
            <w:noWrap w:val="0"/>
            <w:vAlign w:val="center"/>
          </w:tcPr>
          <w:p w14:paraId="665260D6">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w:t>
            </w:r>
          </w:p>
        </w:tc>
      </w:tr>
      <w:tr w14:paraId="427F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1177A5F1">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89D9AC9">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0E35DEB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第三产业增加值增速（%）</w:t>
            </w:r>
          </w:p>
        </w:tc>
        <w:tc>
          <w:tcPr>
            <w:tcW w:w="1356" w:type="dxa"/>
            <w:noWrap w:val="0"/>
            <w:vAlign w:val="center"/>
          </w:tcPr>
          <w:p w14:paraId="7C1EC17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w:t>
            </w:r>
          </w:p>
        </w:tc>
        <w:tc>
          <w:tcPr>
            <w:tcW w:w="1255" w:type="dxa"/>
            <w:noWrap w:val="0"/>
            <w:vAlign w:val="center"/>
          </w:tcPr>
          <w:p w14:paraId="19815A5C">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8</w:t>
            </w:r>
          </w:p>
        </w:tc>
      </w:tr>
      <w:tr w14:paraId="56B7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6C7D1AA8">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E6EE939">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78CB086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城镇化率（%）</w:t>
            </w:r>
          </w:p>
        </w:tc>
        <w:tc>
          <w:tcPr>
            <w:tcW w:w="1356" w:type="dxa"/>
            <w:noWrap w:val="0"/>
            <w:vAlign w:val="center"/>
          </w:tcPr>
          <w:p w14:paraId="7FE7D9B2">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95</w:t>
            </w:r>
          </w:p>
        </w:tc>
        <w:tc>
          <w:tcPr>
            <w:tcW w:w="1255" w:type="dxa"/>
            <w:noWrap w:val="0"/>
            <w:vAlign w:val="center"/>
          </w:tcPr>
          <w:p w14:paraId="29189AB6">
            <w:pPr>
              <w:adjustRightInd w:val="0"/>
              <w:snapToGrid w:val="0"/>
              <w:spacing w:line="240" w:lineRule="auto"/>
              <w:ind w:firstLine="0" w:firstLineChars="0"/>
              <w:jc w:val="right"/>
              <w:rPr>
                <w:rFonts w:hint="eastAsia" w:ascii="Times New Roman" w:hAnsi="Times New Roman" w:cs="Times New Roman"/>
                <w:sz w:val="24"/>
                <w:szCs w:val="24"/>
              </w:rPr>
            </w:pPr>
            <w:r>
              <w:rPr>
                <w:rFonts w:ascii="Times New Roman" w:hAnsi="Times New Roman" w:cs="Times New Roman"/>
                <w:sz w:val="24"/>
                <w:szCs w:val="24"/>
              </w:rPr>
              <w:t>9</w:t>
            </w:r>
            <w:r>
              <w:rPr>
                <w:rFonts w:hint="eastAsia" w:ascii="Times New Roman" w:hAnsi="Times New Roman" w:cs="Times New Roman"/>
                <w:sz w:val="24"/>
                <w:szCs w:val="24"/>
              </w:rPr>
              <w:t>1.41</w:t>
            </w:r>
          </w:p>
        </w:tc>
      </w:tr>
      <w:tr w14:paraId="7435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61E45E9D">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13E5CE1">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0B2BAA6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地方一般公共预算收入增速（%）</w:t>
            </w:r>
          </w:p>
        </w:tc>
        <w:tc>
          <w:tcPr>
            <w:tcW w:w="1356" w:type="dxa"/>
            <w:noWrap w:val="0"/>
            <w:vAlign w:val="center"/>
          </w:tcPr>
          <w:p w14:paraId="4325B789">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8.5</w:t>
            </w:r>
          </w:p>
        </w:tc>
        <w:tc>
          <w:tcPr>
            <w:tcW w:w="1255" w:type="dxa"/>
            <w:noWrap w:val="0"/>
            <w:vAlign w:val="center"/>
          </w:tcPr>
          <w:p w14:paraId="63813545">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18</w:t>
            </w:r>
          </w:p>
        </w:tc>
      </w:tr>
      <w:tr w14:paraId="099E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7C9C1852">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080C1D62">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1AE768CA">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固定资产投资完成额增速（%）</w:t>
            </w:r>
          </w:p>
        </w:tc>
        <w:tc>
          <w:tcPr>
            <w:tcW w:w="1356" w:type="dxa"/>
            <w:noWrap w:val="0"/>
            <w:vAlign w:val="center"/>
          </w:tcPr>
          <w:p w14:paraId="4C31921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11以上</w:t>
            </w:r>
          </w:p>
        </w:tc>
        <w:tc>
          <w:tcPr>
            <w:tcW w:w="1255" w:type="dxa"/>
            <w:noWrap w:val="0"/>
            <w:vAlign w:val="center"/>
          </w:tcPr>
          <w:p w14:paraId="504A9C0E">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18</w:t>
            </w:r>
          </w:p>
        </w:tc>
      </w:tr>
      <w:tr w14:paraId="72B5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66832368">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627DAB93">
            <w:pPr>
              <w:adjustRightInd w:val="0"/>
              <w:snapToGrid w:val="0"/>
              <w:spacing w:line="240" w:lineRule="auto"/>
              <w:ind w:firstLine="0" w:firstLineChars="0"/>
              <w:jc w:val="center"/>
              <w:rPr>
                <w:rFonts w:ascii="Times New Roman" w:hAnsi="Times New Roman" w:cs="Times New Roman"/>
                <w:sz w:val="24"/>
                <w:szCs w:val="24"/>
              </w:rPr>
            </w:pPr>
            <w:bookmarkStart w:id="44" w:name="_Toc438133182"/>
            <w:r>
              <w:rPr>
                <w:rFonts w:ascii="Times New Roman" w:hAnsi="Times New Roman" w:cs="Times New Roman"/>
                <w:sz w:val="24"/>
                <w:szCs w:val="24"/>
              </w:rPr>
              <w:t>人民生活</w:t>
            </w:r>
            <w:bookmarkEnd w:id="44"/>
          </w:p>
        </w:tc>
        <w:tc>
          <w:tcPr>
            <w:tcW w:w="5448" w:type="dxa"/>
            <w:noWrap w:val="0"/>
            <w:vAlign w:val="center"/>
          </w:tcPr>
          <w:p w14:paraId="7E8D89AF">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城镇居民人均可支配收入增速（同比增幅，不变价）（%）</w:t>
            </w:r>
          </w:p>
        </w:tc>
        <w:tc>
          <w:tcPr>
            <w:tcW w:w="1356" w:type="dxa"/>
            <w:noWrap w:val="0"/>
            <w:vAlign w:val="center"/>
          </w:tcPr>
          <w:p w14:paraId="6FDB9E58">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w:t>
            </w:r>
          </w:p>
        </w:tc>
        <w:tc>
          <w:tcPr>
            <w:tcW w:w="1255" w:type="dxa"/>
            <w:noWrap w:val="0"/>
            <w:vAlign w:val="center"/>
          </w:tcPr>
          <w:p w14:paraId="0EE185E0">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11</w:t>
            </w:r>
          </w:p>
        </w:tc>
      </w:tr>
      <w:tr w14:paraId="405E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78248E7F">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C04CCF0">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36C1CF0B">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农村居民人均可支配收入增速（同比增幅，不变价）（%）</w:t>
            </w:r>
          </w:p>
        </w:tc>
        <w:tc>
          <w:tcPr>
            <w:tcW w:w="1356" w:type="dxa"/>
            <w:noWrap w:val="0"/>
            <w:vAlign w:val="center"/>
          </w:tcPr>
          <w:p w14:paraId="6DAF8F14">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10</w:t>
            </w:r>
          </w:p>
        </w:tc>
        <w:tc>
          <w:tcPr>
            <w:tcW w:w="1255" w:type="dxa"/>
            <w:noWrap w:val="0"/>
            <w:vAlign w:val="center"/>
          </w:tcPr>
          <w:p w14:paraId="3465011C">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10</w:t>
            </w:r>
          </w:p>
        </w:tc>
      </w:tr>
      <w:tr w14:paraId="1DF3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dxa"/>
            <w:vMerge w:val="continue"/>
            <w:noWrap w:val="0"/>
            <w:vAlign w:val="center"/>
          </w:tcPr>
          <w:p w14:paraId="0991C338">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21F99A9">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540F4E5E">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城镇登记失业率（%）</w:t>
            </w:r>
          </w:p>
        </w:tc>
        <w:tc>
          <w:tcPr>
            <w:tcW w:w="1356" w:type="dxa"/>
            <w:noWrap w:val="0"/>
            <w:vAlign w:val="center"/>
          </w:tcPr>
          <w:p w14:paraId="7FC4F12B">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w:t>
            </w:r>
          </w:p>
        </w:tc>
        <w:tc>
          <w:tcPr>
            <w:tcW w:w="1255" w:type="dxa"/>
            <w:noWrap w:val="0"/>
            <w:vAlign w:val="center"/>
          </w:tcPr>
          <w:p w14:paraId="62F3D47C">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4.4</w:t>
            </w:r>
          </w:p>
        </w:tc>
      </w:tr>
      <w:tr w14:paraId="07B8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82D7BDD">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36F2E9F7">
            <w:pPr>
              <w:adjustRightInd w:val="0"/>
              <w:snapToGrid w:val="0"/>
              <w:spacing w:line="240" w:lineRule="auto"/>
              <w:ind w:firstLine="0" w:firstLineChars="0"/>
              <w:jc w:val="center"/>
              <w:rPr>
                <w:rFonts w:ascii="Times New Roman" w:hAnsi="Times New Roman" w:cs="Times New Roman"/>
                <w:sz w:val="24"/>
                <w:szCs w:val="24"/>
              </w:rPr>
            </w:pPr>
            <w:bookmarkStart w:id="45" w:name="_Toc438133183"/>
            <w:r>
              <w:rPr>
                <w:rFonts w:ascii="Times New Roman" w:hAnsi="Times New Roman" w:cs="Times New Roman"/>
                <w:sz w:val="24"/>
                <w:szCs w:val="24"/>
              </w:rPr>
              <w:t>科技教育</w:t>
            </w:r>
            <w:bookmarkEnd w:id="45"/>
          </w:p>
        </w:tc>
        <w:tc>
          <w:tcPr>
            <w:tcW w:w="5448" w:type="dxa"/>
            <w:noWrap w:val="0"/>
            <w:vAlign w:val="center"/>
          </w:tcPr>
          <w:p w14:paraId="6C614B3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高中阶段毛入学率（%）</w:t>
            </w:r>
          </w:p>
        </w:tc>
        <w:tc>
          <w:tcPr>
            <w:tcW w:w="1356" w:type="dxa"/>
            <w:noWrap w:val="0"/>
            <w:vAlign w:val="center"/>
          </w:tcPr>
          <w:p w14:paraId="568EDA02">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97</w:t>
            </w:r>
          </w:p>
        </w:tc>
        <w:tc>
          <w:tcPr>
            <w:tcW w:w="1255" w:type="dxa"/>
            <w:noWrap w:val="0"/>
            <w:vAlign w:val="center"/>
          </w:tcPr>
          <w:p w14:paraId="27F53540">
            <w:pPr>
              <w:adjustRightInd w:val="0"/>
              <w:snapToGrid w:val="0"/>
              <w:spacing w:line="240" w:lineRule="auto"/>
              <w:ind w:firstLine="0" w:firstLineChars="0"/>
              <w:jc w:val="right"/>
              <w:rPr>
                <w:rFonts w:ascii="Times New Roman" w:hAnsi="Times New Roman" w:cs="Times New Roman"/>
                <w:color w:val="000000"/>
                <w:sz w:val="24"/>
                <w:szCs w:val="24"/>
              </w:rPr>
            </w:pPr>
            <w:r>
              <w:rPr>
                <w:rFonts w:ascii="Times New Roman" w:hAnsi="Times New Roman" w:cs="Times New Roman"/>
                <w:color w:val="000000"/>
                <w:sz w:val="24"/>
                <w:szCs w:val="24"/>
              </w:rPr>
              <w:t>92.28</w:t>
            </w:r>
          </w:p>
        </w:tc>
      </w:tr>
      <w:tr w14:paraId="728A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22B19931">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3DF1A248">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1094DBE0">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研究与试验发展经费支出占GDP比重（%）</w:t>
            </w:r>
          </w:p>
        </w:tc>
        <w:tc>
          <w:tcPr>
            <w:tcW w:w="1356" w:type="dxa"/>
            <w:noWrap w:val="0"/>
            <w:vAlign w:val="center"/>
          </w:tcPr>
          <w:p w14:paraId="565BEE2C">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1.5</w:t>
            </w:r>
          </w:p>
        </w:tc>
        <w:tc>
          <w:tcPr>
            <w:tcW w:w="1255" w:type="dxa"/>
            <w:noWrap w:val="0"/>
            <w:vAlign w:val="center"/>
          </w:tcPr>
          <w:p w14:paraId="0E3D3016">
            <w:pPr>
              <w:adjustRightInd w:val="0"/>
              <w:snapToGrid w:val="0"/>
              <w:spacing w:line="240" w:lineRule="auto"/>
              <w:ind w:firstLine="0" w:firstLineChars="0"/>
              <w:jc w:val="right"/>
              <w:rPr>
                <w:rFonts w:ascii="Times New Roman" w:hAnsi="Times New Roman" w:cs="Times New Roman"/>
                <w:sz w:val="24"/>
                <w:szCs w:val="24"/>
              </w:rPr>
            </w:pPr>
          </w:p>
        </w:tc>
      </w:tr>
      <w:tr w14:paraId="72FE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A10EF32">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681B7808">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3C1E3405">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科技进步对经济增长贡献率（%）</w:t>
            </w:r>
          </w:p>
        </w:tc>
        <w:tc>
          <w:tcPr>
            <w:tcW w:w="1356" w:type="dxa"/>
            <w:noWrap w:val="0"/>
            <w:vAlign w:val="center"/>
          </w:tcPr>
          <w:p w14:paraId="0476C63A">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65</w:t>
            </w:r>
          </w:p>
        </w:tc>
        <w:tc>
          <w:tcPr>
            <w:tcW w:w="1255" w:type="dxa"/>
            <w:noWrap w:val="0"/>
            <w:vAlign w:val="center"/>
          </w:tcPr>
          <w:p w14:paraId="129D99B8">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60</w:t>
            </w:r>
          </w:p>
        </w:tc>
      </w:tr>
      <w:tr w14:paraId="5BA7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2C1D9CF">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63CC02E3">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2DEADCDA">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城市</w:t>
            </w:r>
            <w:r>
              <w:rPr>
                <w:rFonts w:ascii="Times New Roman" w:hAnsi="Times New Roman" w:cs="Times New Roman"/>
                <w:color w:val="000000"/>
                <w:sz w:val="24"/>
                <w:szCs w:val="24"/>
              </w:rPr>
              <w:t>建成区绿化覆盖率（%）</w:t>
            </w:r>
          </w:p>
        </w:tc>
        <w:tc>
          <w:tcPr>
            <w:tcW w:w="1356" w:type="dxa"/>
            <w:noWrap w:val="0"/>
            <w:vAlign w:val="center"/>
          </w:tcPr>
          <w:p w14:paraId="7AC50301">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43</w:t>
            </w:r>
          </w:p>
        </w:tc>
        <w:tc>
          <w:tcPr>
            <w:tcW w:w="1255" w:type="dxa"/>
            <w:noWrap w:val="0"/>
            <w:vAlign w:val="center"/>
          </w:tcPr>
          <w:p w14:paraId="1228B398">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40</w:t>
            </w:r>
          </w:p>
        </w:tc>
      </w:tr>
      <w:tr w14:paraId="1839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restart"/>
            <w:noWrap w:val="0"/>
            <w:vAlign w:val="center"/>
          </w:tcPr>
          <w:p w14:paraId="014BDAF5">
            <w:pPr>
              <w:adjustRightInd w:val="0"/>
              <w:snapToGrid w:val="0"/>
              <w:spacing w:line="240" w:lineRule="auto"/>
              <w:ind w:firstLine="0" w:firstLineChars="0"/>
              <w:jc w:val="center"/>
              <w:rPr>
                <w:rFonts w:ascii="Times New Roman" w:hAnsi="Times New Roman" w:cs="Times New Roman"/>
                <w:sz w:val="24"/>
                <w:szCs w:val="24"/>
              </w:rPr>
            </w:pPr>
            <w:bookmarkStart w:id="46" w:name="_Toc438133184"/>
            <w:r>
              <w:rPr>
                <w:rFonts w:ascii="Times New Roman" w:hAnsi="Times New Roman" w:cs="Times New Roman"/>
                <w:sz w:val="24"/>
                <w:szCs w:val="24"/>
              </w:rPr>
              <w:t>约</w:t>
            </w:r>
            <w:bookmarkEnd w:id="46"/>
          </w:p>
          <w:p w14:paraId="0BCDE3F6">
            <w:pPr>
              <w:adjustRightInd w:val="0"/>
              <w:snapToGrid w:val="0"/>
              <w:spacing w:line="240" w:lineRule="auto"/>
              <w:ind w:firstLine="0" w:firstLineChars="0"/>
              <w:jc w:val="center"/>
              <w:rPr>
                <w:rFonts w:ascii="Times New Roman" w:hAnsi="Times New Roman" w:cs="Times New Roman"/>
                <w:sz w:val="24"/>
                <w:szCs w:val="24"/>
              </w:rPr>
            </w:pPr>
            <w:bookmarkStart w:id="47" w:name="_Toc438133185"/>
            <w:r>
              <w:rPr>
                <w:rFonts w:ascii="Times New Roman" w:hAnsi="Times New Roman" w:cs="Times New Roman"/>
                <w:sz w:val="24"/>
                <w:szCs w:val="24"/>
              </w:rPr>
              <w:t>束</w:t>
            </w:r>
            <w:bookmarkEnd w:id="47"/>
          </w:p>
          <w:p w14:paraId="5F0A0DA3">
            <w:pPr>
              <w:adjustRightInd w:val="0"/>
              <w:snapToGrid w:val="0"/>
              <w:spacing w:line="240" w:lineRule="auto"/>
              <w:ind w:firstLine="0" w:firstLineChars="0"/>
              <w:jc w:val="center"/>
              <w:rPr>
                <w:rFonts w:ascii="Times New Roman" w:hAnsi="Times New Roman" w:cs="Times New Roman"/>
                <w:sz w:val="24"/>
                <w:szCs w:val="24"/>
              </w:rPr>
            </w:pPr>
            <w:bookmarkStart w:id="48" w:name="_Toc438133186"/>
            <w:r>
              <w:rPr>
                <w:rFonts w:ascii="Times New Roman" w:hAnsi="Times New Roman" w:cs="Times New Roman"/>
                <w:sz w:val="24"/>
                <w:szCs w:val="24"/>
              </w:rPr>
              <w:t>性</w:t>
            </w:r>
            <w:bookmarkEnd w:id="48"/>
          </w:p>
          <w:p w14:paraId="5BA132F7">
            <w:pPr>
              <w:adjustRightInd w:val="0"/>
              <w:snapToGrid w:val="0"/>
              <w:spacing w:line="240" w:lineRule="auto"/>
              <w:ind w:firstLine="0" w:firstLineChars="0"/>
              <w:jc w:val="center"/>
              <w:rPr>
                <w:rFonts w:ascii="Times New Roman" w:hAnsi="Times New Roman" w:cs="Times New Roman"/>
                <w:sz w:val="24"/>
                <w:szCs w:val="24"/>
              </w:rPr>
            </w:pPr>
            <w:bookmarkStart w:id="49" w:name="_Toc438133187"/>
            <w:r>
              <w:rPr>
                <w:rFonts w:ascii="Times New Roman" w:hAnsi="Times New Roman" w:cs="Times New Roman"/>
                <w:sz w:val="24"/>
                <w:szCs w:val="24"/>
              </w:rPr>
              <w:t>指</w:t>
            </w:r>
            <w:bookmarkEnd w:id="49"/>
          </w:p>
          <w:p w14:paraId="45ED244C">
            <w:pPr>
              <w:adjustRightInd w:val="0"/>
              <w:snapToGrid w:val="0"/>
              <w:spacing w:line="240" w:lineRule="auto"/>
              <w:ind w:firstLine="0" w:firstLineChars="0"/>
              <w:jc w:val="center"/>
              <w:rPr>
                <w:rFonts w:ascii="Times New Roman" w:hAnsi="Times New Roman" w:cs="Times New Roman"/>
                <w:sz w:val="24"/>
                <w:szCs w:val="24"/>
              </w:rPr>
            </w:pPr>
            <w:bookmarkStart w:id="50" w:name="_Toc438133188"/>
            <w:r>
              <w:rPr>
                <w:rFonts w:ascii="Times New Roman" w:hAnsi="Times New Roman" w:cs="Times New Roman"/>
                <w:sz w:val="24"/>
                <w:szCs w:val="24"/>
              </w:rPr>
              <w:t>标</w:t>
            </w:r>
            <w:bookmarkEnd w:id="50"/>
          </w:p>
        </w:tc>
        <w:tc>
          <w:tcPr>
            <w:tcW w:w="837" w:type="dxa"/>
            <w:vMerge w:val="continue"/>
            <w:noWrap w:val="0"/>
            <w:vAlign w:val="center"/>
          </w:tcPr>
          <w:p w14:paraId="53AD12BD">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19F0880C">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主要污染物排放总量减少（%，累计）</w:t>
            </w:r>
          </w:p>
        </w:tc>
        <w:tc>
          <w:tcPr>
            <w:tcW w:w="1356" w:type="dxa"/>
            <w:noWrap w:val="0"/>
            <w:vAlign w:val="center"/>
          </w:tcPr>
          <w:p w14:paraId="6A6B8893">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完成任务</w:t>
            </w:r>
          </w:p>
        </w:tc>
        <w:tc>
          <w:tcPr>
            <w:tcW w:w="1255" w:type="dxa"/>
            <w:noWrap w:val="0"/>
            <w:vAlign w:val="center"/>
          </w:tcPr>
          <w:p w14:paraId="35BF8A39">
            <w:pPr>
              <w:adjustRightInd w:val="0"/>
              <w:snapToGrid w:val="0"/>
              <w:spacing w:line="240" w:lineRule="auto"/>
              <w:ind w:firstLine="0" w:firstLineChars="0"/>
              <w:jc w:val="right"/>
              <w:rPr>
                <w:rFonts w:ascii="Times New Roman" w:hAnsi="Times New Roman" w:cs="Times New Roman"/>
                <w:sz w:val="24"/>
                <w:szCs w:val="24"/>
              </w:rPr>
            </w:pPr>
          </w:p>
        </w:tc>
      </w:tr>
      <w:tr w14:paraId="264D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F2F0A89">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3B186A1">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6B5E8552">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森林覆盖率（%）</w:t>
            </w:r>
          </w:p>
        </w:tc>
        <w:tc>
          <w:tcPr>
            <w:tcW w:w="1356" w:type="dxa"/>
            <w:noWrap w:val="0"/>
            <w:vAlign w:val="center"/>
          </w:tcPr>
          <w:p w14:paraId="555C2EA4">
            <w:pPr>
              <w:adjustRightInd w:val="0"/>
              <w:snapToGrid w:val="0"/>
              <w:spacing w:line="240" w:lineRule="auto"/>
              <w:ind w:firstLine="0" w:firstLineChars="0"/>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255" w:type="dxa"/>
            <w:noWrap w:val="0"/>
            <w:vAlign w:val="center"/>
          </w:tcPr>
          <w:p w14:paraId="0671C4BA">
            <w:pPr>
              <w:adjustRightInd w:val="0"/>
              <w:snapToGrid w:val="0"/>
              <w:spacing w:line="240" w:lineRule="auto"/>
              <w:ind w:firstLine="0" w:firstLineChars="0"/>
              <w:jc w:val="right"/>
              <w:rPr>
                <w:rFonts w:ascii="Times New Roman" w:hAnsi="Times New Roman" w:cs="Times New Roman"/>
                <w:color w:val="000000"/>
                <w:sz w:val="24"/>
                <w:szCs w:val="24"/>
              </w:rPr>
            </w:pPr>
            <w:r>
              <w:rPr>
                <w:rFonts w:ascii="Times New Roman" w:hAnsi="Times New Roman" w:cs="Times New Roman"/>
                <w:color w:val="000000"/>
                <w:sz w:val="24"/>
                <w:szCs w:val="24"/>
              </w:rPr>
              <w:t>6.13</w:t>
            </w:r>
          </w:p>
        </w:tc>
      </w:tr>
      <w:tr w14:paraId="5F4A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11ABBB3C">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5F64670F">
            <w:pPr>
              <w:adjustRightInd w:val="0"/>
              <w:snapToGrid w:val="0"/>
              <w:spacing w:line="240" w:lineRule="auto"/>
              <w:ind w:firstLine="0" w:firstLineChars="0"/>
              <w:jc w:val="center"/>
              <w:rPr>
                <w:rFonts w:ascii="Times New Roman" w:hAnsi="Times New Roman" w:cs="Times New Roman"/>
                <w:sz w:val="24"/>
                <w:szCs w:val="24"/>
              </w:rPr>
            </w:pPr>
            <w:bookmarkStart w:id="51" w:name="_Toc438133189"/>
            <w:r>
              <w:rPr>
                <w:rFonts w:ascii="Times New Roman" w:hAnsi="Times New Roman" w:cs="Times New Roman"/>
                <w:sz w:val="24"/>
                <w:szCs w:val="24"/>
              </w:rPr>
              <w:t>人民生活</w:t>
            </w:r>
            <w:bookmarkEnd w:id="51"/>
          </w:p>
        </w:tc>
        <w:tc>
          <w:tcPr>
            <w:tcW w:w="5448" w:type="dxa"/>
            <w:noWrap w:val="0"/>
            <w:vAlign w:val="center"/>
          </w:tcPr>
          <w:p w14:paraId="5D5780C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城镇参加基本养老保险人数</w:t>
            </w:r>
          </w:p>
        </w:tc>
        <w:tc>
          <w:tcPr>
            <w:tcW w:w="1356" w:type="dxa"/>
            <w:noWrap w:val="0"/>
            <w:vAlign w:val="center"/>
          </w:tcPr>
          <w:p w14:paraId="6842930A">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全覆盖</w:t>
            </w:r>
          </w:p>
        </w:tc>
        <w:tc>
          <w:tcPr>
            <w:tcW w:w="1255" w:type="dxa"/>
            <w:noWrap w:val="0"/>
            <w:vAlign w:val="center"/>
          </w:tcPr>
          <w:p w14:paraId="7414BD81">
            <w:pPr>
              <w:adjustRightInd w:val="0"/>
              <w:snapToGrid w:val="0"/>
              <w:spacing w:line="240" w:lineRule="auto"/>
              <w:ind w:firstLine="0" w:firstLineChars="0"/>
              <w:jc w:val="right"/>
              <w:rPr>
                <w:rFonts w:ascii="Times New Roman" w:hAnsi="Times New Roman" w:cs="Times New Roman"/>
                <w:sz w:val="24"/>
                <w:szCs w:val="24"/>
              </w:rPr>
            </w:pPr>
          </w:p>
        </w:tc>
      </w:tr>
      <w:tr w14:paraId="3D67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FE7A9AD">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C984735">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78A6C233">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城乡三项基本医疗保险参保率</w:t>
            </w:r>
          </w:p>
        </w:tc>
        <w:tc>
          <w:tcPr>
            <w:tcW w:w="1356" w:type="dxa"/>
            <w:noWrap w:val="0"/>
            <w:vAlign w:val="center"/>
          </w:tcPr>
          <w:p w14:paraId="29A17721">
            <w:pPr>
              <w:adjustRightInd w:val="0"/>
              <w:snapToGrid w:val="0"/>
              <w:spacing w:line="240" w:lineRule="auto"/>
              <w:ind w:firstLine="0" w:firstLineChars="0"/>
              <w:jc w:val="right"/>
              <w:rPr>
                <w:rFonts w:ascii="Times New Roman" w:hAnsi="Times New Roman" w:cs="Times New Roman"/>
                <w:sz w:val="24"/>
                <w:szCs w:val="24"/>
              </w:rPr>
            </w:pPr>
            <w:r>
              <w:rPr>
                <w:rFonts w:ascii="Times New Roman" w:hAnsi="Times New Roman" w:cs="Times New Roman"/>
                <w:sz w:val="24"/>
                <w:szCs w:val="24"/>
              </w:rPr>
              <w:t>全覆盖</w:t>
            </w:r>
          </w:p>
        </w:tc>
        <w:tc>
          <w:tcPr>
            <w:tcW w:w="1255" w:type="dxa"/>
            <w:noWrap w:val="0"/>
            <w:vAlign w:val="center"/>
          </w:tcPr>
          <w:p w14:paraId="15544766">
            <w:pPr>
              <w:adjustRightInd w:val="0"/>
              <w:snapToGrid w:val="0"/>
              <w:spacing w:line="240" w:lineRule="auto"/>
              <w:ind w:firstLine="0" w:firstLineChars="0"/>
              <w:jc w:val="right"/>
              <w:rPr>
                <w:rFonts w:ascii="Times New Roman" w:hAnsi="Times New Roman" w:cs="Times New Roman"/>
                <w:sz w:val="24"/>
                <w:szCs w:val="24"/>
              </w:rPr>
            </w:pPr>
          </w:p>
        </w:tc>
      </w:tr>
      <w:tr w14:paraId="0319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439" w:type="dxa"/>
            <w:vMerge w:val="continue"/>
            <w:noWrap w:val="0"/>
            <w:vAlign w:val="center"/>
          </w:tcPr>
          <w:p w14:paraId="0918B410">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7FFD7668">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4FFB520F">
            <w:pPr>
              <w:adjustRightInd w:val="0"/>
              <w:snapToGrid w:val="0"/>
              <w:spacing w:line="24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常住</w:t>
            </w:r>
            <w:r>
              <w:rPr>
                <w:rFonts w:ascii="Times New Roman" w:hAnsi="Times New Roman" w:cs="Times New Roman"/>
                <w:sz w:val="24"/>
                <w:szCs w:val="24"/>
              </w:rPr>
              <w:t>人口（万）</w:t>
            </w:r>
          </w:p>
        </w:tc>
        <w:tc>
          <w:tcPr>
            <w:tcW w:w="1356" w:type="dxa"/>
            <w:noWrap w:val="0"/>
            <w:vAlign w:val="center"/>
          </w:tcPr>
          <w:p w14:paraId="3F2A10CE">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8</w:t>
            </w:r>
            <w:r>
              <w:rPr>
                <w:rFonts w:ascii="Times New Roman" w:hAnsi="Times New Roman" w:cs="Times New Roman"/>
                <w:sz w:val="24"/>
                <w:szCs w:val="24"/>
              </w:rPr>
              <w:t>0</w:t>
            </w:r>
          </w:p>
          <w:p w14:paraId="4C72C9FE">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（2020年）</w:t>
            </w:r>
          </w:p>
        </w:tc>
        <w:tc>
          <w:tcPr>
            <w:tcW w:w="1255" w:type="dxa"/>
            <w:noWrap w:val="0"/>
            <w:vAlign w:val="center"/>
          </w:tcPr>
          <w:p w14:paraId="0766C75D">
            <w:pPr>
              <w:adjustRightInd w:val="0"/>
              <w:snapToGrid w:val="0"/>
              <w:spacing w:line="240" w:lineRule="auto"/>
              <w:ind w:left="-150" w:leftChars="-50"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73.4</w:t>
            </w:r>
          </w:p>
          <w:p w14:paraId="0C5CDBE2">
            <w:pPr>
              <w:adjustRightInd w:val="0"/>
              <w:snapToGrid w:val="0"/>
              <w:spacing w:line="240" w:lineRule="auto"/>
              <w:ind w:left="-150" w:leftChars="-50" w:right="-150" w:rightChars="-50"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（2015年）</w:t>
            </w:r>
          </w:p>
        </w:tc>
      </w:tr>
      <w:tr w14:paraId="6EA69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61C02B26">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restart"/>
            <w:noWrap w:val="0"/>
            <w:vAlign w:val="center"/>
          </w:tcPr>
          <w:p w14:paraId="2457F2E6">
            <w:pPr>
              <w:adjustRightInd w:val="0"/>
              <w:snapToGrid w:val="0"/>
              <w:spacing w:line="240" w:lineRule="auto"/>
              <w:ind w:firstLine="0" w:firstLineChars="0"/>
              <w:jc w:val="center"/>
              <w:rPr>
                <w:rFonts w:ascii="Times New Roman" w:hAnsi="Times New Roman" w:cs="Times New Roman"/>
                <w:sz w:val="24"/>
                <w:szCs w:val="24"/>
              </w:rPr>
            </w:pPr>
            <w:r>
              <w:rPr>
                <w:rFonts w:ascii="Times New Roman" w:hAnsi="Times New Roman" w:cs="Times New Roman"/>
                <w:sz w:val="24"/>
                <w:szCs w:val="24"/>
              </w:rPr>
              <w:t>安全生产</w:t>
            </w:r>
          </w:p>
        </w:tc>
        <w:tc>
          <w:tcPr>
            <w:tcW w:w="5448" w:type="dxa"/>
            <w:noWrap w:val="0"/>
            <w:vAlign w:val="center"/>
          </w:tcPr>
          <w:p w14:paraId="13D085F7">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亿元地区生产总值生产安全事故死亡率</w:t>
            </w:r>
            <w:r>
              <w:rPr>
                <w:rFonts w:hint="eastAsia" w:ascii="Times New Roman" w:hAnsi="Times New Roman" w:cs="Times New Roman"/>
                <w:sz w:val="24"/>
                <w:szCs w:val="24"/>
              </w:rPr>
              <w:t>（人</w:t>
            </w:r>
            <w:r>
              <w:rPr>
                <w:rFonts w:hint="eastAsia" w:ascii="仿宋_GB2312" w:hAnsi="Times New Roman" w:cs="Times New Roman"/>
                <w:sz w:val="24"/>
                <w:szCs w:val="24"/>
              </w:rPr>
              <w:t>/</w:t>
            </w:r>
            <w:r>
              <w:rPr>
                <w:rFonts w:hint="eastAsia" w:ascii="Times New Roman" w:hAnsi="Times New Roman" w:cs="Times New Roman"/>
                <w:sz w:val="24"/>
                <w:szCs w:val="24"/>
              </w:rPr>
              <w:t>亿元）</w:t>
            </w:r>
          </w:p>
        </w:tc>
        <w:tc>
          <w:tcPr>
            <w:tcW w:w="1356" w:type="dxa"/>
            <w:noWrap w:val="0"/>
            <w:vAlign w:val="center"/>
          </w:tcPr>
          <w:p w14:paraId="10185BA8">
            <w:pPr>
              <w:adjustRightInd w:val="0"/>
              <w:snapToGrid w:val="0"/>
              <w:spacing w:line="240" w:lineRule="auto"/>
              <w:ind w:firstLine="0" w:firstLineChars="0"/>
              <w:jc w:val="right"/>
              <w:rPr>
                <w:rFonts w:ascii="Times New Roman" w:hAnsi="Times New Roman" w:cs="Times New Roman"/>
                <w:sz w:val="24"/>
                <w:szCs w:val="24"/>
              </w:rPr>
            </w:pPr>
          </w:p>
        </w:tc>
        <w:tc>
          <w:tcPr>
            <w:tcW w:w="1255" w:type="dxa"/>
            <w:noWrap w:val="0"/>
            <w:vAlign w:val="center"/>
          </w:tcPr>
          <w:p w14:paraId="403C3858">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0.058</w:t>
            </w:r>
          </w:p>
        </w:tc>
      </w:tr>
      <w:tr w14:paraId="6EB71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C7E3FDE">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47E3B2A6">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5A8CF8A8">
            <w:pPr>
              <w:adjustRightInd w:val="0"/>
              <w:snapToGrid w:val="0"/>
              <w:spacing w:line="240" w:lineRule="auto"/>
              <w:ind w:firstLine="0" w:firstLineChars="0"/>
              <w:rPr>
                <w:rFonts w:hint="eastAsia" w:ascii="Times New Roman" w:hAnsi="Times New Roman" w:cs="Times New Roman"/>
                <w:sz w:val="24"/>
                <w:szCs w:val="24"/>
              </w:rPr>
            </w:pPr>
            <w:r>
              <w:rPr>
                <w:rFonts w:ascii="Times New Roman" w:hAnsi="Times New Roman" w:cs="Times New Roman"/>
                <w:sz w:val="24"/>
                <w:szCs w:val="24"/>
              </w:rPr>
              <w:t>工矿商贸就业人员十万人生产安全事故死亡率</w:t>
            </w:r>
          </w:p>
        </w:tc>
        <w:tc>
          <w:tcPr>
            <w:tcW w:w="1356" w:type="dxa"/>
            <w:noWrap w:val="0"/>
            <w:vAlign w:val="center"/>
          </w:tcPr>
          <w:p w14:paraId="61E74278">
            <w:pPr>
              <w:adjustRightInd w:val="0"/>
              <w:snapToGrid w:val="0"/>
              <w:spacing w:line="240" w:lineRule="auto"/>
              <w:ind w:firstLine="0" w:firstLineChars="0"/>
              <w:jc w:val="right"/>
              <w:rPr>
                <w:rFonts w:ascii="Times New Roman" w:hAnsi="Times New Roman" w:cs="Times New Roman"/>
                <w:sz w:val="24"/>
                <w:szCs w:val="24"/>
              </w:rPr>
            </w:pPr>
          </w:p>
        </w:tc>
        <w:tc>
          <w:tcPr>
            <w:tcW w:w="1255" w:type="dxa"/>
            <w:noWrap w:val="0"/>
            <w:vAlign w:val="center"/>
          </w:tcPr>
          <w:p w14:paraId="4ABC3818">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0.007</w:t>
            </w:r>
          </w:p>
        </w:tc>
      </w:tr>
      <w:tr w14:paraId="5D09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439" w:type="dxa"/>
            <w:vMerge w:val="continue"/>
            <w:noWrap w:val="0"/>
            <w:vAlign w:val="center"/>
          </w:tcPr>
          <w:p w14:paraId="5E9D19B4">
            <w:pPr>
              <w:adjustRightInd w:val="0"/>
              <w:snapToGrid w:val="0"/>
              <w:spacing w:line="240" w:lineRule="auto"/>
              <w:ind w:firstLine="0" w:firstLineChars="0"/>
              <w:jc w:val="center"/>
              <w:rPr>
                <w:rFonts w:ascii="Times New Roman" w:hAnsi="Times New Roman" w:cs="Times New Roman"/>
                <w:sz w:val="24"/>
                <w:szCs w:val="24"/>
              </w:rPr>
            </w:pPr>
          </w:p>
        </w:tc>
        <w:tc>
          <w:tcPr>
            <w:tcW w:w="837" w:type="dxa"/>
            <w:vMerge w:val="continue"/>
            <w:noWrap w:val="0"/>
            <w:vAlign w:val="center"/>
          </w:tcPr>
          <w:p w14:paraId="5E8B90CF">
            <w:pPr>
              <w:adjustRightInd w:val="0"/>
              <w:snapToGrid w:val="0"/>
              <w:spacing w:line="240" w:lineRule="auto"/>
              <w:ind w:firstLine="0" w:firstLineChars="0"/>
              <w:jc w:val="center"/>
              <w:rPr>
                <w:rFonts w:ascii="Times New Roman" w:hAnsi="Times New Roman" w:cs="Times New Roman"/>
                <w:sz w:val="24"/>
                <w:szCs w:val="24"/>
              </w:rPr>
            </w:pPr>
          </w:p>
        </w:tc>
        <w:tc>
          <w:tcPr>
            <w:tcW w:w="5448" w:type="dxa"/>
            <w:noWrap w:val="0"/>
            <w:vAlign w:val="center"/>
          </w:tcPr>
          <w:p w14:paraId="0D501AA4">
            <w:pPr>
              <w:adjustRightInd w:val="0"/>
              <w:snapToGrid w:val="0"/>
              <w:spacing w:line="240" w:lineRule="auto"/>
              <w:ind w:firstLine="0" w:firstLineChars="0"/>
              <w:rPr>
                <w:rFonts w:ascii="Times New Roman" w:hAnsi="Times New Roman" w:cs="Times New Roman"/>
                <w:sz w:val="24"/>
                <w:szCs w:val="24"/>
              </w:rPr>
            </w:pPr>
            <w:r>
              <w:rPr>
                <w:rFonts w:ascii="Times New Roman" w:hAnsi="Times New Roman" w:cs="Times New Roman"/>
                <w:sz w:val="24"/>
                <w:szCs w:val="24"/>
              </w:rPr>
              <w:t>道路交通万车死亡率</w:t>
            </w:r>
          </w:p>
        </w:tc>
        <w:tc>
          <w:tcPr>
            <w:tcW w:w="1356" w:type="dxa"/>
            <w:noWrap w:val="0"/>
            <w:vAlign w:val="center"/>
          </w:tcPr>
          <w:p w14:paraId="485A0520">
            <w:pPr>
              <w:adjustRightInd w:val="0"/>
              <w:snapToGrid w:val="0"/>
              <w:spacing w:line="240" w:lineRule="auto"/>
              <w:ind w:firstLine="0" w:firstLineChars="0"/>
              <w:jc w:val="right"/>
              <w:rPr>
                <w:rFonts w:ascii="Times New Roman" w:hAnsi="Times New Roman" w:cs="Times New Roman"/>
                <w:sz w:val="24"/>
                <w:szCs w:val="24"/>
              </w:rPr>
            </w:pPr>
          </w:p>
        </w:tc>
        <w:tc>
          <w:tcPr>
            <w:tcW w:w="1255" w:type="dxa"/>
            <w:noWrap w:val="0"/>
            <w:vAlign w:val="center"/>
          </w:tcPr>
          <w:p w14:paraId="5DD72C22">
            <w:pPr>
              <w:adjustRightInd w:val="0"/>
              <w:snapToGrid w:val="0"/>
              <w:spacing w:line="240" w:lineRule="auto"/>
              <w:ind w:firstLine="0" w:firstLineChars="0"/>
              <w:jc w:val="right"/>
              <w:rPr>
                <w:rFonts w:hint="eastAsia" w:ascii="Times New Roman" w:hAnsi="Times New Roman" w:cs="Times New Roman"/>
                <w:sz w:val="24"/>
                <w:szCs w:val="24"/>
              </w:rPr>
            </w:pPr>
            <w:r>
              <w:rPr>
                <w:rFonts w:hint="eastAsia" w:ascii="Times New Roman" w:hAnsi="Times New Roman" w:cs="Times New Roman"/>
                <w:sz w:val="24"/>
                <w:szCs w:val="24"/>
              </w:rPr>
              <w:t>0.051</w:t>
            </w:r>
          </w:p>
        </w:tc>
      </w:tr>
    </w:tbl>
    <w:p w14:paraId="6F160FEF">
      <w:pPr>
        <w:ind w:firstLine="600"/>
        <w:rPr>
          <w:rFonts w:hint="eastAsia"/>
        </w:rPr>
      </w:pPr>
      <w:bookmarkStart w:id="52" w:name="_Toc439358310"/>
      <w:bookmarkStart w:id="53" w:name="_Toc438133191"/>
      <w:bookmarkStart w:id="54" w:name="_Toc437344094"/>
      <w:bookmarkStart w:id="55" w:name="_Toc437344097"/>
    </w:p>
    <w:p w14:paraId="4C99D165">
      <w:pPr>
        <w:ind w:firstLine="600"/>
        <w:rPr>
          <w:rFonts w:hint="eastAsia"/>
        </w:rPr>
      </w:pPr>
    </w:p>
    <w:p w14:paraId="215822AD">
      <w:pPr>
        <w:ind w:firstLine="600"/>
        <w:rPr>
          <w:rFonts w:hint="eastAsia"/>
        </w:rPr>
      </w:pPr>
    </w:p>
    <w:p w14:paraId="4DB1DDC6">
      <w:pPr>
        <w:ind w:firstLine="600"/>
        <w:rPr>
          <w:rFonts w:hint="eastAsia"/>
        </w:rPr>
      </w:pPr>
    </w:p>
    <w:p w14:paraId="23C8DAC6">
      <w:pPr>
        <w:ind w:firstLine="600"/>
        <w:rPr>
          <w:rFonts w:hint="eastAsia"/>
        </w:rPr>
      </w:pPr>
    </w:p>
    <w:p w14:paraId="799FD74F">
      <w:pPr>
        <w:ind w:firstLine="600"/>
        <w:rPr>
          <w:rFonts w:hint="eastAsia"/>
        </w:rPr>
      </w:pPr>
    </w:p>
    <w:p w14:paraId="0C0444C9">
      <w:pPr>
        <w:ind w:firstLine="600"/>
        <w:rPr>
          <w:rFonts w:hint="eastAsia"/>
        </w:rPr>
      </w:pPr>
    </w:p>
    <w:p w14:paraId="722FB8BD">
      <w:pPr>
        <w:ind w:firstLine="600"/>
        <w:rPr>
          <w:rFonts w:hint="eastAsia"/>
        </w:rPr>
      </w:pPr>
    </w:p>
    <w:p w14:paraId="3A89086F">
      <w:pPr>
        <w:ind w:firstLine="600"/>
        <w:rPr>
          <w:rFonts w:hint="eastAsia"/>
        </w:rPr>
      </w:pPr>
    </w:p>
    <w:p w14:paraId="41B396F4">
      <w:pPr>
        <w:ind w:firstLine="600"/>
        <w:rPr>
          <w:rFonts w:hint="eastAsia"/>
        </w:rPr>
      </w:pPr>
    </w:p>
    <w:p w14:paraId="793D496A">
      <w:pPr>
        <w:spacing w:line="240" w:lineRule="exact"/>
        <w:ind w:firstLine="600"/>
        <w:rPr>
          <w:rFonts w:hint="eastAsia"/>
        </w:rPr>
      </w:pPr>
    </w:p>
    <w:p w14:paraId="3BFECBC9">
      <w:pPr>
        <w:spacing w:line="240" w:lineRule="exact"/>
        <w:ind w:firstLine="600"/>
        <w:rPr>
          <w:rFonts w:hint="eastAsia"/>
        </w:rPr>
      </w:pPr>
    </w:p>
    <w:p w14:paraId="494DED37">
      <w:pPr>
        <w:spacing w:line="240" w:lineRule="exact"/>
        <w:ind w:firstLine="600"/>
        <w:rPr>
          <w:rFonts w:hint="eastAsia"/>
        </w:rPr>
      </w:pPr>
    </w:p>
    <w:p w14:paraId="4B29DB2F">
      <w:pPr>
        <w:spacing w:line="240" w:lineRule="exact"/>
        <w:ind w:firstLine="600"/>
        <w:rPr>
          <w:rFonts w:hint="eastAsia"/>
        </w:rPr>
      </w:pPr>
    </w:p>
    <w:p w14:paraId="1FD9B770">
      <w:pPr>
        <w:pStyle w:val="2"/>
        <w:spacing w:before="156" w:beforeLines="50" w:after="0" w:afterLines="0" w:line="520" w:lineRule="exact"/>
        <w:ind w:firstLine="0" w:firstLineChars="0"/>
        <w:jc w:val="center"/>
        <w:rPr>
          <w:rFonts w:eastAsia="方正小标宋_GBK"/>
          <w:b w:val="0"/>
        </w:rPr>
      </w:pPr>
      <w:r>
        <w:rPr>
          <w:rFonts w:eastAsia="方正小标宋_GBK"/>
          <w:b w:val="0"/>
        </w:rPr>
        <w:t>第三章  产业体系与产业布局</w:t>
      </w:r>
      <w:bookmarkEnd w:id="52"/>
    </w:p>
    <w:p w14:paraId="070E96CE">
      <w:pPr>
        <w:pStyle w:val="3"/>
        <w:spacing w:before="312" w:beforeLines="100" w:after="156" w:afterLines="50" w:line="520" w:lineRule="exact"/>
        <w:ind w:firstLine="0" w:firstLineChars="0"/>
        <w:jc w:val="center"/>
        <w:rPr>
          <w:rFonts w:ascii="黑体" w:hAnsi="Times New Roman" w:eastAsia="黑体" w:cs="Times New Roman"/>
          <w:b w:val="0"/>
        </w:rPr>
      </w:pPr>
      <w:bookmarkStart w:id="56" w:name="_Toc439358311"/>
      <w:r>
        <w:rPr>
          <w:rFonts w:ascii="黑体" w:hAnsi="Times New Roman" w:eastAsia="黑体" w:cs="Times New Roman"/>
          <w:b w:val="0"/>
        </w:rPr>
        <w:t>第一节  构建现代产业体系</w:t>
      </w:r>
      <w:bookmarkEnd w:id="56"/>
    </w:p>
    <w:p w14:paraId="2DEE3AAB">
      <w:pPr>
        <w:adjustRightInd w:val="0"/>
        <w:snapToGrid w:val="0"/>
        <w:spacing w:line="610" w:lineRule="exact"/>
        <w:ind w:firstLine="640"/>
        <w:rPr>
          <w:rFonts w:hint="eastAsia" w:ascii="仿宋_GB2312" w:hAnsi="Times New Roman" w:cs="Times New Roman"/>
          <w:sz w:val="32"/>
          <w:szCs w:val="32"/>
        </w:rPr>
      </w:pPr>
      <w:r>
        <w:rPr>
          <w:rFonts w:ascii="Times New Roman" w:hAnsi="Times New Roman" w:cs="Times New Roman"/>
          <w:sz w:val="32"/>
          <w:szCs w:val="32"/>
        </w:rPr>
        <w:t>立足兴庆区产业基础及产业趋势，培</w:t>
      </w:r>
      <w:r>
        <w:rPr>
          <w:rFonts w:hint="eastAsia" w:ascii="仿宋_GB2312" w:hAnsi="Times New Roman" w:cs="Times New Roman"/>
          <w:sz w:val="32"/>
          <w:szCs w:val="32"/>
        </w:rPr>
        <w:t>育“高效、高新、高端”</w:t>
      </w:r>
      <w:r>
        <w:rPr>
          <w:rFonts w:ascii="Times New Roman" w:hAnsi="Times New Roman" w:cs="Times New Roman"/>
          <w:sz w:val="32"/>
          <w:szCs w:val="32"/>
        </w:rPr>
        <w:t>的产业制高点，推动产业集中集聚集约式发展；关注绿色经济、平台经济、健康经济和智能制造，突出存量调整和增量提升；关注产业升级和城市功能提升，构建</w:t>
      </w:r>
      <w:r>
        <w:rPr>
          <w:rFonts w:hint="eastAsia" w:ascii="仿宋_GB2312" w:hAnsi="Times New Roman" w:cs="Times New Roman"/>
          <w:sz w:val="32"/>
          <w:szCs w:val="32"/>
        </w:rPr>
        <w:t>“</w:t>
      </w:r>
      <w:r>
        <w:rPr>
          <w:rFonts w:ascii="Times New Roman" w:hAnsi="Times New Roman" w:cs="Times New Roman"/>
          <w:sz w:val="32"/>
          <w:szCs w:val="32"/>
        </w:rPr>
        <w:t>2主</w:t>
      </w:r>
      <w:r>
        <w:rPr>
          <w:rFonts w:hint="eastAsia" w:ascii="仿宋_GB2312" w:hAnsi="Times New Roman" w:cs="Times New Roman"/>
          <w:sz w:val="32"/>
          <w:szCs w:val="32"/>
        </w:rPr>
        <w:t>-</w:t>
      </w:r>
      <w:r>
        <w:rPr>
          <w:rFonts w:ascii="Times New Roman" w:hAnsi="Times New Roman" w:cs="Times New Roman"/>
          <w:sz w:val="32"/>
          <w:szCs w:val="32"/>
        </w:rPr>
        <w:t>2</w:t>
      </w:r>
      <w:r>
        <w:rPr>
          <w:rFonts w:hint="eastAsia" w:ascii="仿宋_GB2312" w:hAnsi="Times New Roman" w:cs="Times New Roman"/>
          <w:sz w:val="32"/>
          <w:szCs w:val="32"/>
        </w:rPr>
        <w:t>特”以</w:t>
      </w:r>
      <w:r>
        <w:rPr>
          <w:rFonts w:ascii="Times New Roman" w:hAnsi="Times New Roman" w:cs="Times New Roman"/>
          <w:sz w:val="32"/>
          <w:szCs w:val="32"/>
        </w:rPr>
        <w:t>现代服务业为主导的产业体系：重点发展大服务、大流通2大主导产业，重点培育都市农业、通用航空2大特色产业，关注其</w:t>
      </w:r>
      <w:r>
        <w:rPr>
          <w:rFonts w:hint="eastAsia" w:ascii="仿宋_GB2312" w:hAnsi="Times New Roman" w:cs="Times New Roman"/>
          <w:sz w:val="32"/>
          <w:szCs w:val="32"/>
        </w:rPr>
        <w:t>他新兴服务业，实现人流-物流-资金流-信息流的“四流合一”与交通-交易-交流-交融的“四交一体”。</w:t>
      </w:r>
    </w:p>
    <w:p w14:paraId="0396F7DC">
      <w:pPr>
        <w:spacing w:before="156" w:beforeLines="50" w:after="93" w:afterLines="3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270500" cy="2839085"/>
            <wp:effectExtent l="0" t="0" r="0"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3"/>
                    <a:stretch>
                      <a:fillRect/>
                    </a:stretch>
                  </pic:blipFill>
                  <pic:spPr>
                    <a:xfrm>
                      <a:off x="0" y="0"/>
                      <a:ext cx="5270500" cy="2839085"/>
                    </a:xfrm>
                    <a:prstGeom prst="rect">
                      <a:avLst/>
                    </a:prstGeom>
                    <a:noFill/>
                    <a:ln>
                      <a:noFill/>
                    </a:ln>
                  </pic:spPr>
                </pic:pic>
              </a:graphicData>
            </a:graphic>
          </wp:inline>
        </w:drawing>
      </w:r>
    </w:p>
    <w:p w14:paraId="4090DE08">
      <w:pPr>
        <w:pStyle w:val="4"/>
        <w:adjustRightInd w:val="0"/>
        <w:snapToGrid w:val="0"/>
        <w:spacing w:line="520" w:lineRule="exact"/>
        <w:ind w:firstLine="0" w:firstLineChars="0"/>
        <w:jc w:val="center"/>
        <w:rPr>
          <w:rFonts w:hint="eastAsia" w:ascii="仿宋_GB2312" w:hAnsi="Times New Roman" w:eastAsia="仿宋_GB2312" w:cs="Times New Roman"/>
          <w:b/>
          <w:sz w:val="24"/>
          <w:szCs w:val="24"/>
        </w:rPr>
      </w:pPr>
      <w:bookmarkStart w:id="57" w:name="_Toc437344187"/>
      <w:bookmarkStart w:id="58" w:name="_Toc438132076"/>
      <w:bookmarkStart w:id="59" w:name="_Toc441134455"/>
      <w:r>
        <w:rPr>
          <w:rFonts w:hint="eastAsia" w:ascii="仿宋_GB2312" w:hAnsi="Times New Roman" w:eastAsia="仿宋_GB2312" w:cs="Times New Roman"/>
          <w:b/>
          <w:sz w:val="24"/>
          <w:szCs w:val="24"/>
        </w:rPr>
        <w:t>图</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图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兴庆区现代产业体系</w:t>
      </w:r>
      <w:bookmarkEnd w:id="57"/>
      <w:bookmarkEnd w:id="58"/>
      <w:bookmarkEnd w:id="59"/>
    </w:p>
    <w:p w14:paraId="5F85DDF0">
      <w:pPr>
        <w:pStyle w:val="3"/>
        <w:spacing w:before="0" w:beforeLines="0" w:after="0" w:afterLines="0" w:line="240" w:lineRule="exact"/>
        <w:ind w:firstLine="0" w:firstLineChars="0"/>
        <w:jc w:val="center"/>
        <w:rPr>
          <w:rFonts w:ascii="Times New Roman" w:hAnsi="Times New Roman" w:cs="Times New Roman"/>
        </w:rPr>
      </w:pPr>
      <w:bookmarkStart w:id="60" w:name="_Toc439358312"/>
    </w:p>
    <w:p w14:paraId="36E24C1B">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优化产业发展布局</w:t>
      </w:r>
      <w:bookmarkEnd w:id="60"/>
    </w:p>
    <w:p w14:paraId="270ADE28">
      <w:pPr>
        <w:adjustRightInd w:val="0"/>
        <w:snapToGrid w:val="0"/>
        <w:spacing w:after="156" w:afterLines="50" w:line="610" w:lineRule="exact"/>
        <w:ind w:firstLine="640"/>
        <w:rPr>
          <w:rFonts w:ascii="Times New Roman" w:hAnsi="Times New Roman" w:cs="Times New Roman"/>
          <w:sz w:val="32"/>
          <w:szCs w:val="32"/>
        </w:rPr>
      </w:pPr>
      <w:r>
        <w:rPr>
          <w:rFonts w:hint="eastAsia" w:ascii="仿宋_GB2312" w:hAnsi="Times New Roman" w:cs="Times New Roman"/>
          <w:sz w:val="32"/>
          <w:szCs w:val="32"/>
        </w:rPr>
        <w:t>围绕“</w:t>
      </w:r>
      <w:r>
        <w:rPr>
          <w:rFonts w:ascii="Times New Roman" w:hAnsi="Times New Roman" w:cs="Times New Roman"/>
          <w:sz w:val="32"/>
          <w:szCs w:val="32"/>
        </w:rPr>
        <w:t>2</w:t>
      </w:r>
      <w:r>
        <w:rPr>
          <w:rFonts w:hint="eastAsia" w:ascii="仿宋_GB2312" w:hAnsi="Times New Roman" w:cs="Times New Roman"/>
          <w:sz w:val="32"/>
          <w:szCs w:val="32"/>
        </w:rPr>
        <w:t>主-</w:t>
      </w:r>
      <w:r>
        <w:rPr>
          <w:rFonts w:ascii="Times New Roman" w:hAnsi="Times New Roman" w:cs="Times New Roman"/>
          <w:sz w:val="32"/>
          <w:szCs w:val="32"/>
        </w:rPr>
        <w:t>2</w:t>
      </w:r>
      <w:r>
        <w:rPr>
          <w:rFonts w:hint="eastAsia" w:ascii="仿宋_GB2312" w:hAnsi="Times New Roman" w:cs="Times New Roman"/>
          <w:sz w:val="32"/>
          <w:szCs w:val="32"/>
        </w:rPr>
        <w:t>特”产业体系，重点打造“</w:t>
      </w:r>
      <w:r>
        <w:rPr>
          <w:rFonts w:ascii="Times New Roman" w:hAnsi="Times New Roman" w:cs="Times New Roman"/>
          <w:sz w:val="32"/>
          <w:szCs w:val="32"/>
        </w:rPr>
        <w:t>2</w:t>
      </w:r>
      <w:r>
        <w:rPr>
          <w:rFonts w:hint="eastAsia" w:ascii="仿宋_GB2312" w:hAnsi="Times New Roman" w:cs="Times New Roman"/>
          <w:sz w:val="32"/>
          <w:szCs w:val="32"/>
        </w:rPr>
        <w:t>带-</w:t>
      </w:r>
      <w:r>
        <w:rPr>
          <w:rFonts w:ascii="Times New Roman" w:hAnsi="Times New Roman" w:cs="Times New Roman"/>
          <w:sz w:val="32"/>
          <w:szCs w:val="32"/>
        </w:rPr>
        <w:t>1</w:t>
      </w:r>
      <w:r>
        <w:rPr>
          <w:rFonts w:hint="eastAsia" w:ascii="仿宋_GB2312" w:hAnsi="Times New Roman" w:cs="Times New Roman"/>
          <w:sz w:val="32"/>
          <w:szCs w:val="32"/>
        </w:rPr>
        <w:t>圈-</w:t>
      </w:r>
      <w:r>
        <w:rPr>
          <w:rFonts w:ascii="Times New Roman" w:hAnsi="Times New Roman" w:cs="Times New Roman"/>
          <w:sz w:val="32"/>
          <w:szCs w:val="32"/>
        </w:rPr>
        <w:t>1</w:t>
      </w:r>
      <w:r>
        <w:rPr>
          <w:rFonts w:hint="eastAsia" w:ascii="仿宋_GB2312" w:hAnsi="Times New Roman" w:cs="Times New Roman"/>
          <w:sz w:val="32"/>
          <w:szCs w:val="32"/>
        </w:rPr>
        <w:t>园”的现代产业布局。</w:t>
      </w:r>
      <w:r>
        <w:rPr>
          <w:rFonts w:hint="eastAsia" w:ascii="仿宋_GB2312" w:hAnsi="Times New Roman" w:cs="Times New Roman"/>
          <w:b/>
          <w:bCs/>
          <w:sz w:val="32"/>
          <w:szCs w:val="32"/>
        </w:rPr>
        <w:t>商贸物流带</w:t>
      </w:r>
      <w:r>
        <w:rPr>
          <w:rFonts w:hint="eastAsia" w:ascii="仿宋_GB2312" w:hAnsi="Times New Roman" w:cs="Times New Roman"/>
          <w:b/>
          <w:sz w:val="32"/>
          <w:szCs w:val="32"/>
        </w:rPr>
        <w:t>，</w:t>
      </w:r>
      <w:r>
        <w:rPr>
          <w:rFonts w:hint="eastAsia" w:ascii="仿宋_GB2312" w:hAnsi="Times New Roman" w:cs="Times New Roman"/>
          <w:sz w:val="32"/>
          <w:szCs w:val="32"/>
        </w:rPr>
        <w:t>围绕商贸物流服务做“加法”，完善基础设施，通路网、齐配套；加快产业化进程，招大商、引名企、落项目、增税收。</w:t>
      </w:r>
      <w:r>
        <w:rPr>
          <w:rFonts w:hint="eastAsia" w:ascii="仿宋_GB2312" w:hAnsi="Times New Roman" w:cs="Times New Roman"/>
          <w:b/>
          <w:bCs/>
          <w:sz w:val="32"/>
          <w:szCs w:val="32"/>
        </w:rPr>
        <w:t>沿黄产业带，</w:t>
      </w:r>
      <w:r>
        <w:rPr>
          <w:rFonts w:hint="eastAsia" w:ascii="仿宋_GB2312" w:hAnsi="Times New Roman" w:cs="Times New Roman"/>
          <w:bCs/>
          <w:sz w:val="32"/>
          <w:szCs w:val="32"/>
        </w:rPr>
        <w:t>围绕一二三产业融合发展</w:t>
      </w:r>
      <w:r>
        <w:rPr>
          <w:rFonts w:hint="eastAsia" w:ascii="仿宋_GB2312" w:hAnsi="Times New Roman" w:cs="Times New Roman"/>
          <w:sz w:val="32"/>
          <w:szCs w:val="32"/>
        </w:rPr>
        <w:t>，加快都市农业发展，推进花卉产业、蔬菜产业提质增效，突出绿色科技及可持续发展。</w:t>
      </w:r>
      <w:r>
        <w:rPr>
          <w:rFonts w:hint="eastAsia" w:ascii="仿宋_GB2312" w:hAnsi="Times New Roman" w:cs="Times New Roman"/>
          <w:b/>
          <w:bCs/>
          <w:sz w:val="32"/>
          <w:szCs w:val="32"/>
        </w:rPr>
        <w:t>新华商圈</w:t>
      </w:r>
      <w:r>
        <w:rPr>
          <w:rFonts w:hint="eastAsia" w:ascii="仿宋_GB2312" w:hAnsi="Times New Roman" w:cs="Times New Roman"/>
          <w:sz w:val="32"/>
          <w:szCs w:val="32"/>
        </w:rPr>
        <w:t>，加快项目改造及对接电商，争取重大项目落地，提升核心竞争力，增强消费对经济增长的拉动作用。</w:t>
      </w:r>
      <w:r>
        <w:rPr>
          <w:rFonts w:hint="eastAsia" w:ascii="仿宋_GB2312" w:hAnsi="Times New Roman" w:cs="Times New Roman"/>
          <w:b/>
          <w:bCs/>
          <w:sz w:val="32"/>
          <w:szCs w:val="32"/>
        </w:rPr>
        <w:t>通航产业园</w:t>
      </w:r>
      <w:r>
        <w:rPr>
          <w:rFonts w:hint="eastAsia" w:ascii="仿宋_GB2312" w:hAnsi="Times New Roman" w:cs="Times New Roman"/>
          <w:sz w:val="32"/>
          <w:szCs w:val="32"/>
        </w:rPr>
        <w:t>，与河东机场大航线运输以及综保区建设相结合，打造“丝绸之路经济带”上的交通、物流枢纽，助力宁夏打造战略支点。</w:t>
      </w:r>
      <w:r>
        <w:rPr>
          <w:rFonts w:hint="eastAsia" w:ascii="仿宋_GB2312" w:hAnsi="Times New Roman" w:cs="Times New Roman"/>
          <w:b/>
          <w:sz w:val="32"/>
          <w:szCs w:val="32"/>
        </w:rPr>
        <w:t>掌政镇、通贵乡、月牙湖乡</w:t>
      </w:r>
      <w:r>
        <w:rPr>
          <w:rFonts w:hint="eastAsia" w:ascii="仿宋_GB2312" w:hAnsi="Times New Roman" w:cs="Times New Roman"/>
          <w:sz w:val="32"/>
          <w:szCs w:val="32"/>
        </w:rPr>
        <w:t>等片区</w:t>
      </w:r>
      <w:r>
        <w:rPr>
          <w:rFonts w:hint="eastAsia" w:ascii="仿宋_GB2312" w:hAnsi="Times New Roman" w:cs="Times New Roman"/>
          <w:b/>
          <w:sz w:val="32"/>
          <w:szCs w:val="32"/>
        </w:rPr>
        <w:t>，</w:t>
      </w:r>
      <w:r>
        <w:rPr>
          <w:rFonts w:hint="eastAsia" w:ascii="仿宋_GB2312" w:hAnsi="Times New Roman" w:cs="Times New Roman"/>
          <w:sz w:val="32"/>
          <w:szCs w:val="32"/>
        </w:rPr>
        <w:t>立足</w:t>
      </w:r>
      <w:r>
        <w:rPr>
          <w:rFonts w:ascii="Times New Roman" w:hAnsi="Times New Roman" w:cs="Times New Roman"/>
          <w:sz w:val="32"/>
          <w:szCs w:val="32"/>
        </w:rPr>
        <w:t>城区与乡镇经济发展现状，重点把握主城区和郊区产业承接与扩散机制，促进城乡一体化发展。</w:t>
      </w:r>
    </w:p>
    <w:p w14:paraId="71C71EF8">
      <w:pPr>
        <w:adjustRightInd w:val="0"/>
        <w:snapToGrid w:val="0"/>
        <w:spacing w:before="156" w:beforeLines="50" w:line="520" w:lineRule="exact"/>
        <w:ind w:firstLine="0" w:firstLineChars="0"/>
        <w:jc w:val="center"/>
        <w:rPr>
          <w:rFonts w:hint="eastAsia" w:ascii="仿宋_GB2312" w:hAnsi="Times New Roman" w:cs="Times New Roman"/>
          <w:b/>
          <w:bCs/>
          <w:sz w:val="24"/>
          <w:szCs w:val="24"/>
        </w:rPr>
      </w:pPr>
      <w:bookmarkStart w:id="61" w:name="_Toc441134456"/>
      <w:r>
        <w:rPr>
          <w:rFonts w:hint="eastAsia" w:ascii="仿宋_GB2312" w:hAnsi="Times New Roman" w:cs="Times New Roman"/>
          <w:sz w:val="24"/>
          <w:szCs w:val="24"/>
        </w:rPr>
        <w:drawing>
          <wp:anchor distT="0" distB="0" distL="114300" distR="114300" simplePos="0" relativeHeight="251659264" behindDoc="0" locked="0" layoutInCell="1" allowOverlap="1">
            <wp:simplePos x="0" y="0"/>
            <wp:positionH relativeFrom="column">
              <wp:align>center</wp:align>
            </wp:positionH>
            <wp:positionV relativeFrom="paragraph">
              <wp:posOffset>31115</wp:posOffset>
            </wp:positionV>
            <wp:extent cx="5529580" cy="237744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529580" cy="2377440"/>
                    </a:xfrm>
                    <a:prstGeom prst="rect">
                      <a:avLst/>
                    </a:prstGeom>
                    <a:noFill/>
                    <a:ln>
                      <a:noFill/>
                    </a:ln>
                  </pic:spPr>
                </pic:pic>
              </a:graphicData>
            </a:graphic>
          </wp:anchor>
        </w:drawing>
      </w:r>
      <w:r>
        <w:rPr>
          <w:rFonts w:hint="eastAsia" w:ascii="仿宋_GB2312" w:hAnsi="Times New Roman" w:cs="Times New Roman"/>
          <w:b/>
          <w:sz w:val="24"/>
          <w:szCs w:val="24"/>
        </w:rPr>
        <w:t>图</w:t>
      </w:r>
      <w:r>
        <w:rPr>
          <w:rFonts w:hint="eastAsia" w:ascii="仿宋_GB2312" w:hAnsi="Times New Roman" w:cs="Times New Roman"/>
          <w:b/>
          <w:sz w:val="24"/>
          <w:szCs w:val="24"/>
        </w:rPr>
        <w:fldChar w:fldCharType="begin"/>
      </w:r>
      <w:r>
        <w:rPr>
          <w:rFonts w:hint="eastAsia" w:ascii="仿宋_GB2312" w:hAnsi="Times New Roman" w:cs="Times New Roman"/>
          <w:b/>
          <w:sz w:val="24"/>
          <w:szCs w:val="24"/>
        </w:rPr>
        <w:instrText xml:space="preserve"> SEQ 图 \* ARABIC </w:instrText>
      </w:r>
      <w:r>
        <w:rPr>
          <w:rFonts w:hint="eastAsia" w:ascii="仿宋_GB2312" w:hAnsi="Times New Roman" w:cs="Times New Roman"/>
          <w:b/>
          <w:sz w:val="24"/>
          <w:szCs w:val="24"/>
        </w:rPr>
        <w:fldChar w:fldCharType="separate"/>
      </w:r>
      <w:r>
        <w:rPr>
          <w:rFonts w:ascii="仿宋_GB2312" w:hAnsi="Times New Roman" w:cs="Times New Roman"/>
          <w:b/>
          <w:sz w:val="24"/>
          <w:szCs w:val="24"/>
        </w:rPr>
        <w:t>2</w:t>
      </w:r>
      <w:r>
        <w:rPr>
          <w:rFonts w:hint="eastAsia" w:ascii="仿宋_GB2312" w:hAnsi="Times New Roman" w:cs="Times New Roman"/>
          <w:b/>
          <w:sz w:val="24"/>
          <w:szCs w:val="24"/>
        </w:rPr>
        <w:fldChar w:fldCharType="end"/>
      </w:r>
      <w:r>
        <w:rPr>
          <w:rFonts w:hint="eastAsia" w:ascii="仿宋_GB2312" w:hAnsi="Times New Roman" w:cs="Times New Roman"/>
          <w:b/>
          <w:sz w:val="24"/>
          <w:szCs w:val="24"/>
        </w:rPr>
        <w:t xml:space="preserve">   兴庆区现代产业布局</w:t>
      </w:r>
      <w:bookmarkEnd w:id="61"/>
    </w:p>
    <w:p w14:paraId="268A22B2">
      <w:pPr>
        <w:ind w:firstLine="600"/>
        <w:rPr>
          <w:rFonts w:hint="eastAsia"/>
        </w:rPr>
      </w:pPr>
    </w:p>
    <w:p w14:paraId="7083CD89">
      <w:pPr>
        <w:spacing w:line="240" w:lineRule="exact"/>
        <w:ind w:firstLine="600"/>
        <w:rPr>
          <w:rFonts w:hint="eastAsia"/>
        </w:rPr>
      </w:pPr>
    </w:p>
    <w:p w14:paraId="1AC3F817">
      <w:pPr>
        <w:pStyle w:val="2"/>
        <w:spacing w:before="156" w:beforeLines="50" w:after="0" w:afterLines="0" w:line="520" w:lineRule="exact"/>
        <w:ind w:firstLine="0" w:firstLineChars="0"/>
        <w:jc w:val="center"/>
        <w:rPr>
          <w:rFonts w:eastAsia="方正小标宋_GBK"/>
          <w:b w:val="0"/>
        </w:rPr>
      </w:pPr>
      <w:bookmarkStart w:id="62" w:name="_Toc439358313"/>
      <w:r>
        <w:rPr>
          <w:rFonts w:eastAsia="方正小标宋_GBK"/>
          <w:b w:val="0"/>
        </w:rPr>
        <w:t>第四章</w:t>
      </w:r>
      <w:r>
        <w:rPr>
          <w:rFonts w:hint="eastAsia" w:eastAsia="方正小标宋_GBK"/>
          <w:b w:val="0"/>
        </w:rPr>
        <w:t xml:space="preserve"> </w:t>
      </w:r>
      <w:r>
        <w:rPr>
          <w:rFonts w:eastAsia="方正小标宋_GBK"/>
          <w:b w:val="0"/>
        </w:rPr>
        <w:t xml:space="preserve"> </w:t>
      </w:r>
      <w:bookmarkEnd w:id="53"/>
      <w:bookmarkEnd w:id="54"/>
      <w:r>
        <w:rPr>
          <w:rFonts w:eastAsia="方正小标宋_GBK"/>
          <w:b w:val="0"/>
        </w:rPr>
        <w:t>高端引领，打造现代服务业示范区</w:t>
      </w:r>
      <w:bookmarkEnd w:id="62"/>
    </w:p>
    <w:p w14:paraId="292F29CD">
      <w:pPr>
        <w:pStyle w:val="3"/>
        <w:spacing w:before="312" w:beforeLines="100" w:after="156" w:afterLines="50" w:line="520" w:lineRule="exact"/>
        <w:ind w:firstLine="0" w:firstLineChars="0"/>
        <w:jc w:val="center"/>
        <w:rPr>
          <w:rFonts w:ascii="黑体" w:hAnsi="Times New Roman" w:eastAsia="黑体" w:cs="Times New Roman"/>
          <w:b w:val="0"/>
        </w:rPr>
      </w:pPr>
      <w:bookmarkStart w:id="63" w:name="_Toc437344099"/>
      <w:bookmarkStart w:id="64" w:name="_Toc439358314"/>
      <w:bookmarkStart w:id="65" w:name="_Toc437344106"/>
      <w:bookmarkStart w:id="66" w:name="_Toc438133192"/>
      <w:r>
        <w:rPr>
          <w:rFonts w:ascii="黑体" w:hAnsi="Times New Roman" w:eastAsia="黑体" w:cs="Times New Roman"/>
          <w:b w:val="0"/>
        </w:rPr>
        <w:t>第一节  推进商贸物流带转型升级</w:t>
      </w:r>
      <w:bookmarkEnd w:id="63"/>
      <w:bookmarkEnd w:id="64"/>
    </w:p>
    <w:p w14:paraId="412342A2">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兴庆区商贸物流带的发展问题集中体现在定位低、产业空、空间散、体制弱和政策缺五大方面</w:t>
      </w:r>
      <w:r>
        <w:rPr>
          <w:rFonts w:hint="eastAsia" w:ascii="仿宋_GB2312" w:hAnsi="Times New Roman" w:cs="Times New Roman"/>
          <w:sz w:val="32"/>
          <w:szCs w:val="32"/>
        </w:rPr>
        <w:t>。“十三五”时期需加大转型升级力度，以联想科技城、浙江国际轻纺城建设</w:t>
      </w:r>
      <w:r>
        <w:rPr>
          <w:rFonts w:ascii="Times New Roman" w:hAnsi="Times New Roman" w:cs="Times New Roman"/>
          <w:sz w:val="32"/>
          <w:szCs w:val="32"/>
        </w:rPr>
        <w:t>为基础，集聚相关产业，拓展辐射范围，打造西北地区现代商贸服务中心。</w:t>
      </w:r>
    </w:p>
    <w:p w14:paraId="6CC297D6">
      <w:pPr>
        <w:pStyle w:val="4"/>
        <w:spacing w:after="93" w:afterLines="30" w:line="610" w:lineRule="exact"/>
        <w:ind w:firstLine="0" w:firstLineChars="0"/>
        <w:jc w:val="center"/>
        <w:rPr>
          <w:rFonts w:ascii="仿宋_GB2312" w:hAnsi="Times New Roman" w:eastAsia="仿宋_GB2312" w:cs="Times New Roman"/>
          <w:b/>
          <w:sz w:val="24"/>
          <w:szCs w:val="24"/>
        </w:rPr>
      </w:pPr>
      <w:bookmarkStart w:id="67" w:name="_Toc441134505"/>
      <w:bookmarkStart w:id="68" w:name="_Toc438132004"/>
      <w:r>
        <w:rPr>
          <w:rFonts w:ascii="仿宋_GB2312" w:hAnsi="Times New Roman" w:eastAsia="仿宋_GB2312" w:cs="Times New Roman"/>
          <w:b/>
          <w:sz w:val="24"/>
          <w:szCs w:val="24"/>
        </w:rPr>
        <w:t>专栏</w:t>
      </w:r>
      <w:r>
        <w:rPr>
          <w:rFonts w:ascii="仿宋_GB2312" w:hAnsi="Times New Roman" w:eastAsia="仿宋_GB2312" w:cs="Times New Roman"/>
          <w:b/>
          <w:sz w:val="24"/>
          <w:szCs w:val="24"/>
        </w:rPr>
        <w:fldChar w:fldCharType="begin"/>
      </w:r>
      <w:r>
        <w:rPr>
          <w:rFonts w:ascii="仿宋_GB2312" w:hAnsi="Times New Roman" w:eastAsia="仿宋_GB2312" w:cs="Times New Roman"/>
          <w:b/>
          <w:sz w:val="24"/>
          <w:szCs w:val="24"/>
        </w:rPr>
        <w:instrText xml:space="preserve"> SEQ 专栏 \* ARABIC </w:instrText>
      </w:r>
      <w:r>
        <w:rPr>
          <w:rFonts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4</w:t>
      </w:r>
      <w:r>
        <w:rPr>
          <w:rFonts w:ascii="仿宋_GB2312" w:hAnsi="Times New Roman" w:eastAsia="仿宋_GB2312" w:cs="Times New Roman"/>
          <w:b/>
          <w:sz w:val="24"/>
          <w:szCs w:val="24"/>
        </w:rPr>
        <w:fldChar w:fldCharType="end"/>
      </w:r>
      <w:r>
        <w:rPr>
          <w:rFonts w:ascii="仿宋_GB2312" w:hAnsi="Times New Roman" w:eastAsia="仿宋_GB2312" w:cs="Times New Roman"/>
          <w:b/>
          <w:sz w:val="24"/>
          <w:szCs w:val="24"/>
        </w:rPr>
        <w:t xml:space="preserve"> </w:t>
      </w:r>
      <w:r>
        <w:rPr>
          <w:rFonts w:hint="eastAsia" w:ascii="仿宋_GB2312" w:hAnsi="Times New Roman" w:eastAsia="仿宋_GB2312" w:cs="Times New Roman"/>
          <w:b/>
          <w:sz w:val="24"/>
          <w:szCs w:val="24"/>
        </w:rPr>
        <w:t xml:space="preserve">  </w:t>
      </w:r>
      <w:r>
        <w:rPr>
          <w:rFonts w:ascii="仿宋_GB2312" w:hAnsi="Times New Roman" w:eastAsia="仿宋_GB2312" w:cs="Times New Roman"/>
          <w:b/>
          <w:sz w:val="24"/>
          <w:szCs w:val="24"/>
        </w:rPr>
        <w:t>商贸物流带主要问题</w:t>
      </w:r>
      <w:bookmarkEnd w:id="67"/>
      <w:bookmarkEnd w:id="68"/>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7210"/>
      </w:tblGrid>
      <w:tr w14:paraId="3030F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22" w:type="dxa"/>
            <w:noWrap w:val="0"/>
            <w:vAlign w:val="center"/>
          </w:tcPr>
          <w:p w14:paraId="62815EC0">
            <w:pPr>
              <w:adjustRightInd w:val="0"/>
              <w:snapToGrid w:val="0"/>
              <w:spacing w:line="240" w:lineRule="auto"/>
              <w:ind w:firstLine="0" w:firstLineChars="0"/>
              <w:jc w:val="center"/>
              <w:rPr>
                <w:rFonts w:ascii="Times New Roman" w:hAnsi="Times New Roman" w:cs="Times New Roman"/>
                <w:b/>
                <w:sz w:val="24"/>
                <w:szCs w:val="24"/>
              </w:rPr>
            </w:pPr>
            <w:bookmarkStart w:id="69" w:name="_Toc438133193"/>
            <w:r>
              <w:rPr>
                <w:rFonts w:ascii="Times New Roman" w:hAnsi="Times New Roman" w:cs="Times New Roman"/>
                <w:b/>
                <w:sz w:val="24"/>
                <w:szCs w:val="24"/>
              </w:rPr>
              <w:t>总结要点</w:t>
            </w:r>
            <w:bookmarkEnd w:id="69"/>
          </w:p>
        </w:tc>
        <w:tc>
          <w:tcPr>
            <w:tcW w:w="7210" w:type="dxa"/>
            <w:noWrap w:val="0"/>
            <w:vAlign w:val="center"/>
          </w:tcPr>
          <w:p w14:paraId="0849B223">
            <w:pPr>
              <w:adjustRightInd w:val="0"/>
              <w:snapToGrid w:val="0"/>
              <w:spacing w:line="240" w:lineRule="auto"/>
              <w:ind w:firstLine="0" w:firstLineChars="0"/>
              <w:jc w:val="center"/>
              <w:rPr>
                <w:rFonts w:ascii="Times New Roman" w:hAnsi="Times New Roman" w:cs="Times New Roman"/>
                <w:b/>
                <w:sz w:val="24"/>
                <w:szCs w:val="24"/>
              </w:rPr>
            </w:pPr>
            <w:bookmarkStart w:id="70" w:name="_Toc438133194"/>
            <w:r>
              <w:rPr>
                <w:rFonts w:ascii="Times New Roman" w:hAnsi="Times New Roman" w:cs="Times New Roman"/>
                <w:b/>
                <w:sz w:val="24"/>
                <w:szCs w:val="24"/>
              </w:rPr>
              <w:t>问题剖析</w:t>
            </w:r>
            <w:bookmarkEnd w:id="70"/>
          </w:p>
        </w:tc>
      </w:tr>
      <w:tr w14:paraId="1989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2" w:type="dxa"/>
            <w:noWrap w:val="0"/>
            <w:vAlign w:val="center"/>
          </w:tcPr>
          <w:p w14:paraId="647B696B">
            <w:pPr>
              <w:adjustRightInd w:val="0"/>
              <w:snapToGrid w:val="0"/>
              <w:spacing w:line="240" w:lineRule="auto"/>
              <w:ind w:firstLine="0" w:firstLineChars="0"/>
              <w:jc w:val="center"/>
              <w:rPr>
                <w:rFonts w:ascii="Times New Roman" w:hAnsi="Times New Roman" w:cs="Times New Roman"/>
                <w:sz w:val="24"/>
                <w:szCs w:val="24"/>
              </w:rPr>
            </w:pPr>
            <w:bookmarkStart w:id="71" w:name="_Toc438133195"/>
            <w:r>
              <w:rPr>
                <w:rFonts w:ascii="Times New Roman" w:hAnsi="Times New Roman" w:cs="Times New Roman"/>
                <w:sz w:val="24"/>
                <w:szCs w:val="24"/>
              </w:rPr>
              <w:t>定位低</w:t>
            </w:r>
            <w:bookmarkEnd w:id="71"/>
          </w:p>
        </w:tc>
        <w:tc>
          <w:tcPr>
            <w:tcW w:w="7210" w:type="dxa"/>
            <w:noWrap w:val="0"/>
            <w:vAlign w:val="center"/>
          </w:tcPr>
          <w:p w14:paraId="77F89222">
            <w:pPr>
              <w:adjustRightInd w:val="0"/>
              <w:snapToGrid w:val="0"/>
              <w:spacing w:line="240" w:lineRule="auto"/>
              <w:ind w:firstLine="0" w:firstLineChars="0"/>
              <w:rPr>
                <w:rFonts w:hint="eastAsia" w:ascii="仿宋_GB2312" w:hAnsi="Times New Roman" w:cs="Times New Roman"/>
                <w:sz w:val="24"/>
                <w:szCs w:val="24"/>
              </w:rPr>
            </w:pPr>
            <w:bookmarkStart w:id="72" w:name="_Toc438133196"/>
            <w:r>
              <w:rPr>
                <w:rFonts w:hint="eastAsia" w:ascii="仿宋_GB2312" w:hAnsi="Times New Roman" w:cs="Times New Roman"/>
                <w:sz w:val="24"/>
                <w:szCs w:val="24"/>
              </w:rPr>
              <w:t>区域性集散中心定位不明；立足兴庆区谋划过多，与自治区、银川市的战略部署融合不够；对接“一带一路”及内陆开放试验区的功能缺失</w:t>
            </w:r>
            <w:bookmarkEnd w:id="72"/>
            <w:r>
              <w:rPr>
                <w:rFonts w:hint="eastAsia" w:ascii="仿宋_GB2312" w:hAnsi="Times New Roman" w:cs="Times New Roman"/>
                <w:sz w:val="24"/>
                <w:szCs w:val="24"/>
              </w:rPr>
              <w:t>。</w:t>
            </w:r>
          </w:p>
        </w:tc>
      </w:tr>
      <w:tr w14:paraId="534F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22" w:type="dxa"/>
            <w:noWrap w:val="0"/>
            <w:vAlign w:val="center"/>
          </w:tcPr>
          <w:p w14:paraId="6E8A5684">
            <w:pPr>
              <w:adjustRightInd w:val="0"/>
              <w:snapToGrid w:val="0"/>
              <w:spacing w:line="240" w:lineRule="auto"/>
              <w:ind w:firstLine="0" w:firstLineChars="0"/>
              <w:jc w:val="center"/>
              <w:rPr>
                <w:rFonts w:ascii="Times New Roman" w:hAnsi="Times New Roman" w:cs="Times New Roman"/>
                <w:sz w:val="24"/>
                <w:szCs w:val="24"/>
              </w:rPr>
            </w:pPr>
            <w:bookmarkStart w:id="73" w:name="_Toc438133197"/>
            <w:r>
              <w:rPr>
                <w:rFonts w:ascii="Times New Roman" w:hAnsi="Times New Roman" w:cs="Times New Roman"/>
                <w:sz w:val="24"/>
                <w:szCs w:val="24"/>
              </w:rPr>
              <w:t>产业空</w:t>
            </w:r>
            <w:bookmarkEnd w:id="73"/>
          </w:p>
        </w:tc>
        <w:tc>
          <w:tcPr>
            <w:tcW w:w="7210" w:type="dxa"/>
            <w:noWrap w:val="0"/>
            <w:vAlign w:val="center"/>
          </w:tcPr>
          <w:p w14:paraId="6BFDD58A">
            <w:pPr>
              <w:adjustRightInd w:val="0"/>
              <w:snapToGrid w:val="0"/>
              <w:spacing w:line="240" w:lineRule="auto"/>
              <w:ind w:firstLine="0" w:firstLineChars="0"/>
              <w:rPr>
                <w:rFonts w:hint="eastAsia" w:ascii="仿宋_GB2312" w:hAnsi="Times New Roman" w:cs="Times New Roman"/>
                <w:sz w:val="24"/>
                <w:szCs w:val="24"/>
              </w:rPr>
            </w:pPr>
            <w:bookmarkStart w:id="74" w:name="_Toc438133198"/>
            <w:r>
              <w:rPr>
                <w:rFonts w:hint="eastAsia" w:ascii="仿宋_GB2312" w:hAnsi="Times New Roman" w:cs="Times New Roman"/>
                <w:sz w:val="24"/>
                <w:szCs w:val="24"/>
              </w:rPr>
              <w:t>类房地产项目比重过高，存在产业空心化的风险，受房地产行业下行影响较大；区域同质化竞争问题突出；缺失专业化、中高端物流项目、平台类项目；包括互联网+及其关联业态在内的新兴业态严重不足</w:t>
            </w:r>
            <w:bookmarkEnd w:id="74"/>
            <w:r>
              <w:rPr>
                <w:rFonts w:hint="eastAsia" w:ascii="仿宋_GB2312" w:hAnsi="Times New Roman" w:cs="Times New Roman"/>
                <w:sz w:val="24"/>
                <w:szCs w:val="24"/>
              </w:rPr>
              <w:t>。</w:t>
            </w:r>
          </w:p>
        </w:tc>
      </w:tr>
      <w:tr w14:paraId="176E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22" w:type="dxa"/>
            <w:noWrap w:val="0"/>
            <w:vAlign w:val="center"/>
          </w:tcPr>
          <w:p w14:paraId="3DA7A98E">
            <w:pPr>
              <w:adjustRightInd w:val="0"/>
              <w:snapToGrid w:val="0"/>
              <w:spacing w:line="240" w:lineRule="auto"/>
              <w:ind w:firstLine="0" w:firstLineChars="0"/>
              <w:jc w:val="center"/>
              <w:rPr>
                <w:rFonts w:ascii="Times New Roman" w:hAnsi="Times New Roman" w:cs="Times New Roman"/>
                <w:sz w:val="24"/>
                <w:szCs w:val="24"/>
              </w:rPr>
            </w:pPr>
            <w:bookmarkStart w:id="75" w:name="_Toc438133199"/>
            <w:r>
              <w:rPr>
                <w:rFonts w:ascii="Times New Roman" w:hAnsi="Times New Roman" w:cs="Times New Roman"/>
                <w:sz w:val="24"/>
                <w:szCs w:val="24"/>
              </w:rPr>
              <w:t>空间散</w:t>
            </w:r>
            <w:bookmarkEnd w:id="75"/>
          </w:p>
        </w:tc>
        <w:tc>
          <w:tcPr>
            <w:tcW w:w="7210" w:type="dxa"/>
            <w:noWrap w:val="0"/>
            <w:vAlign w:val="center"/>
          </w:tcPr>
          <w:p w14:paraId="5CE61889">
            <w:pPr>
              <w:adjustRightInd w:val="0"/>
              <w:snapToGrid w:val="0"/>
              <w:spacing w:line="240" w:lineRule="auto"/>
              <w:ind w:firstLine="0" w:firstLineChars="0"/>
              <w:rPr>
                <w:rFonts w:hint="eastAsia" w:ascii="仿宋_GB2312" w:hAnsi="Times New Roman" w:cs="Times New Roman"/>
                <w:sz w:val="24"/>
                <w:szCs w:val="24"/>
              </w:rPr>
            </w:pPr>
            <w:bookmarkStart w:id="76" w:name="_Toc438133200"/>
            <w:r>
              <w:rPr>
                <w:rFonts w:hint="eastAsia" w:ascii="仿宋_GB2312" w:hAnsi="Times New Roman" w:cs="Times New Roman"/>
                <w:sz w:val="24"/>
                <w:szCs w:val="24"/>
              </w:rPr>
              <w:t>缺少重大交通功能平台，过境通道与内部交通一体化造成区域分割及影响园区品质，缺少依据土地价值梯度分工功能组团的安排</w:t>
            </w:r>
            <w:bookmarkEnd w:id="76"/>
            <w:r>
              <w:rPr>
                <w:rFonts w:hint="eastAsia" w:ascii="仿宋_GB2312" w:hAnsi="Times New Roman" w:cs="Times New Roman"/>
                <w:sz w:val="24"/>
                <w:szCs w:val="24"/>
              </w:rPr>
              <w:t>。</w:t>
            </w:r>
          </w:p>
        </w:tc>
      </w:tr>
      <w:tr w14:paraId="1C5E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22" w:type="dxa"/>
            <w:noWrap w:val="0"/>
            <w:vAlign w:val="center"/>
          </w:tcPr>
          <w:p w14:paraId="27CE7985">
            <w:pPr>
              <w:adjustRightInd w:val="0"/>
              <w:snapToGrid w:val="0"/>
              <w:spacing w:line="240" w:lineRule="auto"/>
              <w:ind w:firstLine="0" w:firstLineChars="0"/>
              <w:jc w:val="center"/>
              <w:rPr>
                <w:rFonts w:ascii="Times New Roman" w:hAnsi="Times New Roman" w:cs="Times New Roman"/>
                <w:sz w:val="24"/>
                <w:szCs w:val="24"/>
              </w:rPr>
            </w:pPr>
            <w:bookmarkStart w:id="77" w:name="_Toc438133201"/>
            <w:r>
              <w:rPr>
                <w:rFonts w:ascii="Times New Roman" w:hAnsi="Times New Roman" w:cs="Times New Roman"/>
                <w:sz w:val="24"/>
                <w:szCs w:val="24"/>
              </w:rPr>
              <w:t>体制弱</w:t>
            </w:r>
            <w:bookmarkEnd w:id="77"/>
          </w:p>
        </w:tc>
        <w:tc>
          <w:tcPr>
            <w:tcW w:w="7210" w:type="dxa"/>
            <w:noWrap w:val="0"/>
            <w:vAlign w:val="center"/>
          </w:tcPr>
          <w:p w14:paraId="6DF25D97">
            <w:pPr>
              <w:adjustRightInd w:val="0"/>
              <w:snapToGrid w:val="0"/>
              <w:spacing w:line="240" w:lineRule="auto"/>
              <w:ind w:firstLine="0" w:firstLineChars="0"/>
              <w:rPr>
                <w:rFonts w:hint="eastAsia" w:ascii="仿宋_GB2312" w:hAnsi="Times New Roman" w:cs="Times New Roman"/>
                <w:sz w:val="24"/>
                <w:szCs w:val="24"/>
              </w:rPr>
            </w:pPr>
            <w:bookmarkStart w:id="78" w:name="_Toc438133202"/>
            <w:r>
              <w:rPr>
                <w:rFonts w:hint="eastAsia" w:ascii="仿宋_GB2312" w:hAnsi="Times New Roman" w:cs="Times New Roman"/>
                <w:sz w:val="24"/>
                <w:szCs w:val="24"/>
              </w:rPr>
              <w:t>缺少实际层面的体制统筹，与滨河新区、河东机场、银川综保区缺乏战略联动，部分街镇职能未明确</w:t>
            </w:r>
            <w:bookmarkEnd w:id="78"/>
            <w:r>
              <w:rPr>
                <w:rFonts w:hint="eastAsia" w:ascii="仿宋_GB2312" w:hAnsi="Times New Roman" w:cs="Times New Roman"/>
                <w:sz w:val="24"/>
                <w:szCs w:val="24"/>
              </w:rPr>
              <w:t>。</w:t>
            </w:r>
          </w:p>
        </w:tc>
      </w:tr>
      <w:tr w14:paraId="2CAA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22" w:type="dxa"/>
            <w:noWrap w:val="0"/>
            <w:vAlign w:val="center"/>
          </w:tcPr>
          <w:p w14:paraId="48D76000">
            <w:pPr>
              <w:adjustRightInd w:val="0"/>
              <w:snapToGrid w:val="0"/>
              <w:spacing w:line="240" w:lineRule="auto"/>
              <w:ind w:firstLine="0" w:firstLineChars="0"/>
              <w:jc w:val="center"/>
              <w:rPr>
                <w:rFonts w:ascii="Times New Roman" w:hAnsi="Times New Roman" w:cs="Times New Roman"/>
                <w:sz w:val="24"/>
                <w:szCs w:val="24"/>
              </w:rPr>
            </w:pPr>
            <w:bookmarkStart w:id="79" w:name="_Toc438133203"/>
            <w:r>
              <w:rPr>
                <w:rFonts w:ascii="Times New Roman" w:hAnsi="Times New Roman" w:cs="Times New Roman"/>
                <w:sz w:val="24"/>
                <w:szCs w:val="24"/>
              </w:rPr>
              <w:t>政策缺</w:t>
            </w:r>
            <w:bookmarkEnd w:id="79"/>
          </w:p>
        </w:tc>
        <w:tc>
          <w:tcPr>
            <w:tcW w:w="7210" w:type="dxa"/>
            <w:noWrap w:val="0"/>
            <w:vAlign w:val="center"/>
          </w:tcPr>
          <w:p w14:paraId="6D612E24">
            <w:pPr>
              <w:adjustRightInd w:val="0"/>
              <w:snapToGrid w:val="0"/>
              <w:spacing w:line="240" w:lineRule="auto"/>
              <w:ind w:firstLine="0" w:firstLineChars="0"/>
              <w:rPr>
                <w:rFonts w:hint="eastAsia" w:ascii="仿宋_GB2312" w:hAnsi="Times New Roman" w:cs="Times New Roman"/>
                <w:sz w:val="24"/>
                <w:szCs w:val="24"/>
              </w:rPr>
            </w:pPr>
            <w:bookmarkStart w:id="80" w:name="_Toc438133204"/>
            <w:r>
              <w:rPr>
                <w:rFonts w:hint="eastAsia" w:ascii="仿宋_GB2312" w:hAnsi="Times New Roman" w:cs="Times New Roman"/>
                <w:sz w:val="24"/>
                <w:szCs w:val="24"/>
              </w:rPr>
              <w:t>缺乏改革创新、政策试点和自治区、银川市重大功能性平台，要素市场缺失</w:t>
            </w:r>
            <w:bookmarkEnd w:id="80"/>
            <w:r>
              <w:rPr>
                <w:rFonts w:hint="eastAsia" w:ascii="仿宋_GB2312" w:hAnsi="Times New Roman" w:cs="Times New Roman"/>
                <w:sz w:val="24"/>
                <w:szCs w:val="24"/>
              </w:rPr>
              <w:t>。</w:t>
            </w:r>
          </w:p>
        </w:tc>
      </w:tr>
    </w:tbl>
    <w:p w14:paraId="57FCE29A">
      <w:pPr>
        <w:adjustRightInd w:val="0"/>
        <w:snapToGrid w:val="0"/>
        <w:spacing w:line="610" w:lineRule="exact"/>
        <w:ind w:firstLine="643"/>
        <w:rPr>
          <w:rFonts w:ascii="Times New Roman" w:hAnsi="Times New Roman" w:cs="Times New Roman"/>
          <w:sz w:val="32"/>
          <w:szCs w:val="32"/>
        </w:rPr>
      </w:pPr>
      <w:r>
        <w:rPr>
          <w:rFonts w:hint="eastAsia" w:ascii="仿宋_GB2312" w:hAnsi="Times New Roman" w:cs="Times New Roman"/>
          <w:b/>
          <w:sz w:val="32"/>
          <w:szCs w:val="32"/>
        </w:rPr>
        <w:t>完善前瞻性高等级规划体系指引。</w:t>
      </w:r>
      <w:r>
        <w:rPr>
          <w:rFonts w:hint="eastAsia" w:ascii="仿宋_GB2312" w:hAnsi="Times New Roman" w:cs="Times New Roman"/>
          <w:sz w:val="32"/>
          <w:szCs w:val="32"/>
        </w:rPr>
        <w:t>基于供应链理论、把握产业升级趋势、对接“互联网+”等战略，编制商贸物流带专项发展规划，避免产业无序发展。严控增量用地批复，实施“带规划”土地招投标方式，保证用地规划符合商贸物流带整体定位。争取自治区及银川市支持，落实政策创新顶层设计方案、重大改</w:t>
      </w:r>
      <w:r>
        <w:rPr>
          <w:rFonts w:ascii="Times New Roman" w:hAnsi="Times New Roman" w:cs="Times New Roman"/>
          <w:sz w:val="32"/>
          <w:szCs w:val="32"/>
        </w:rPr>
        <w:t>革事项与任务安排，从行政体制、市场运营体制、产业政策改革、企业制度改革等多维度推进体制机制改革创新。</w:t>
      </w:r>
    </w:p>
    <w:p w14:paraId="3BABF202">
      <w:pPr>
        <w:adjustRightInd w:val="0"/>
        <w:snapToGrid w:val="0"/>
        <w:spacing w:line="610" w:lineRule="exact"/>
        <w:ind w:firstLine="643"/>
        <w:rPr>
          <w:rFonts w:ascii="Times New Roman" w:hAnsi="Times New Roman" w:cs="Times New Roman"/>
          <w:sz w:val="32"/>
          <w:szCs w:val="32"/>
        </w:rPr>
      </w:pPr>
      <w:r>
        <w:rPr>
          <w:rFonts w:hint="eastAsia" w:ascii="仿宋_GB2312" w:hAnsi="Times New Roman" w:cs="Times New Roman"/>
          <w:b/>
          <w:sz w:val="32"/>
          <w:szCs w:val="32"/>
        </w:rPr>
        <w:t>完善“条块结合、统筹协调”体制机制。</w:t>
      </w:r>
      <w:r>
        <w:rPr>
          <w:rFonts w:hint="eastAsia" w:ascii="仿宋_GB2312" w:hAnsi="Times New Roman" w:cs="Times New Roman"/>
          <w:sz w:val="32"/>
          <w:szCs w:val="32"/>
        </w:rPr>
        <w:t>成立商贸物流带管</w:t>
      </w:r>
      <w:r>
        <w:rPr>
          <w:rFonts w:ascii="Times New Roman" w:hAnsi="Times New Roman" w:cs="Times New Roman"/>
          <w:sz w:val="32"/>
          <w:szCs w:val="32"/>
        </w:rPr>
        <w:t>委会，从市级层面加大体制统筹力度，提升管理规格。理顺与乡镇及街道之间的关系，加强与滨河新区、河东机场、综保区的功能联动，全面提升规划、招商引资、项目建设、土地资源、公共服务等领域的管理水平。</w:t>
      </w:r>
    </w:p>
    <w:p w14:paraId="06474B6B">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完善市场化开发运营机制。</w:t>
      </w:r>
      <w:r>
        <w:rPr>
          <w:rFonts w:ascii="Times New Roman" w:hAnsi="Times New Roman" w:cs="Times New Roman"/>
          <w:sz w:val="32"/>
          <w:szCs w:val="32"/>
        </w:rPr>
        <w:t>由国有控股有限公司与各街道以土地、资金等形式入股组建商贸物流带开发投资集团，承担重大基础设施配套建设、产业推进与招商引资、土地收储与投融资运营管理等职责。探索一二级联动开发模式，引入社会资本参与重大项目建设。</w:t>
      </w:r>
    </w:p>
    <w:p w14:paraId="58AFFBD3">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实施精准招商确保质量和效益</w:t>
      </w:r>
      <w:r>
        <w:rPr>
          <w:rFonts w:ascii="Times New Roman" w:hAnsi="Times New Roman" w:cs="Times New Roman"/>
          <w:b/>
          <w:sz w:val="32"/>
          <w:szCs w:val="32"/>
        </w:rPr>
        <w:t>。</w:t>
      </w:r>
      <w:r>
        <w:rPr>
          <w:rFonts w:ascii="Times New Roman" w:hAnsi="Times New Roman" w:cs="Times New Roman"/>
          <w:sz w:val="32"/>
          <w:szCs w:val="32"/>
        </w:rPr>
        <w:t>按</w:t>
      </w:r>
      <w:r>
        <w:rPr>
          <w:rFonts w:hint="eastAsia" w:ascii="仿宋_GB2312" w:hAnsi="Times New Roman" w:cs="Times New Roman"/>
          <w:sz w:val="32"/>
          <w:szCs w:val="32"/>
        </w:rPr>
        <w:t>照“招大商、引强企、促进产业集聚，以产业集聚引领经济大发展”的</w:t>
      </w:r>
      <w:r>
        <w:rPr>
          <w:rFonts w:ascii="Times New Roman" w:hAnsi="Times New Roman" w:cs="Times New Roman"/>
          <w:sz w:val="32"/>
          <w:szCs w:val="32"/>
        </w:rPr>
        <w:t>理念，以彰显城市整体环境和特色产业为核心，以现代服务业项目为重点，围绕商贸物流的提档升级抓好招商引资工作，力</w:t>
      </w:r>
      <w:r>
        <w:rPr>
          <w:rFonts w:hint="eastAsia" w:ascii="仿宋_GB2312" w:hAnsi="Times New Roman" w:cs="Times New Roman"/>
          <w:sz w:val="32"/>
          <w:szCs w:val="32"/>
        </w:rPr>
        <w:t>争“十三五”</w:t>
      </w:r>
      <w:r>
        <w:rPr>
          <w:rFonts w:ascii="Times New Roman" w:hAnsi="Times New Roman" w:cs="Times New Roman"/>
          <w:sz w:val="32"/>
          <w:szCs w:val="32"/>
        </w:rPr>
        <w:t>末，引入世界500强企业5—10家，招商引资资金</w:t>
      </w:r>
      <w:r>
        <w:rPr>
          <w:rFonts w:hint="eastAsia" w:ascii="仿宋_GB2312" w:hAnsi="Times New Roman" w:cs="Times New Roman"/>
          <w:sz w:val="32"/>
          <w:szCs w:val="32"/>
        </w:rPr>
        <w:t>比“十二五”末</w:t>
      </w:r>
      <w:r>
        <w:rPr>
          <w:rFonts w:ascii="Times New Roman" w:hAnsi="Times New Roman" w:cs="Times New Roman"/>
          <w:sz w:val="32"/>
          <w:szCs w:val="32"/>
        </w:rPr>
        <w:t>翻一番。</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16FA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311D56EF">
            <w:pPr>
              <w:pStyle w:val="4"/>
              <w:spacing w:line="240" w:lineRule="auto"/>
              <w:ind w:firstLine="0" w:firstLineChars="0"/>
              <w:jc w:val="center"/>
              <w:rPr>
                <w:rFonts w:hint="eastAsia" w:ascii="仿宋_GB2312" w:hAnsi="Times New Roman" w:eastAsia="仿宋_GB2312" w:cs="Times New Roman"/>
                <w:b/>
                <w:sz w:val="24"/>
                <w:szCs w:val="24"/>
              </w:rPr>
            </w:pPr>
            <w:bookmarkStart w:id="81" w:name="_Toc441134506"/>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5</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商贸物流带发展重点及重大项目</w:t>
            </w:r>
            <w:bookmarkEnd w:id="81"/>
          </w:p>
        </w:tc>
      </w:tr>
      <w:tr w14:paraId="0B6F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00FD4CDE">
            <w:pPr>
              <w:spacing w:line="240" w:lineRule="auto"/>
              <w:ind w:firstLine="480"/>
              <w:rPr>
                <w:rFonts w:ascii="Times New Roman" w:hAnsi="Times New Roman" w:cs="Times New Roman"/>
                <w:sz w:val="24"/>
                <w:szCs w:val="24"/>
              </w:rPr>
            </w:pPr>
            <w:r>
              <w:rPr>
                <w:rFonts w:ascii="Times New Roman" w:hAnsi="Times New Roman" w:cs="Times New Roman"/>
                <w:sz w:val="24"/>
                <w:szCs w:val="24"/>
              </w:rPr>
              <w:t>（1）颐和盛世广场城市综合体：项目规划总占地面积约668亩，主要建设以广东大厦为一体、配套知名商业购物中心、高档住宅、康居安置。</w:t>
            </w:r>
          </w:p>
          <w:p w14:paraId="7E779BF4">
            <w:pPr>
              <w:spacing w:line="240" w:lineRule="auto"/>
              <w:ind w:firstLine="480"/>
              <w:rPr>
                <w:rFonts w:ascii="Times New Roman" w:hAnsi="Times New Roman" w:cs="Times New Roman"/>
                <w:sz w:val="24"/>
                <w:szCs w:val="24"/>
              </w:rPr>
            </w:pPr>
            <w:r>
              <w:rPr>
                <w:rFonts w:ascii="Times New Roman" w:hAnsi="Times New Roman" w:cs="Times New Roman"/>
                <w:sz w:val="24"/>
                <w:szCs w:val="24"/>
              </w:rPr>
              <w:t>（2）浙江国际轻纺城：项目总占地120亩，主要建设棉纺交易市场、辅料交易市场、外贸精品服饰广场、高档写字楼及星级酒店等。</w:t>
            </w:r>
          </w:p>
          <w:p w14:paraId="0A7030AB">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（3）联想科技城：项目总占地100亩，主要建设3C数码广场、大型购物中心、商业步行街、区域总部基地、智能型住宅公寓等。</w:t>
            </w:r>
          </w:p>
        </w:tc>
      </w:tr>
    </w:tbl>
    <w:p w14:paraId="1B453AAC">
      <w:pPr>
        <w:spacing w:line="240" w:lineRule="exact"/>
        <w:ind w:left="601" w:firstLine="0" w:firstLineChars="0"/>
        <w:rPr>
          <w:rFonts w:hint="eastAsia"/>
        </w:rPr>
      </w:pPr>
      <w:bookmarkStart w:id="82" w:name="_Toc439358315"/>
    </w:p>
    <w:p w14:paraId="3E4B34ED">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加快建设区域物流中心</w:t>
      </w:r>
      <w:bookmarkEnd w:id="82"/>
    </w:p>
    <w:p w14:paraId="55A28A53">
      <w:pPr>
        <w:adjustRightInd w:val="0"/>
        <w:snapToGrid w:val="0"/>
        <w:spacing w:line="620" w:lineRule="exact"/>
        <w:ind w:firstLine="640"/>
        <w:rPr>
          <w:rFonts w:ascii="Times New Roman" w:hAnsi="Times New Roman" w:cs="Times New Roman"/>
          <w:sz w:val="32"/>
          <w:szCs w:val="32"/>
        </w:rPr>
      </w:pPr>
      <w:r>
        <w:rPr>
          <w:rFonts w:ascii="Times New Roman" w:hAnsi="Times New Roman" w:cs="Times New Roman"/>
          <w:sz w:val="32"/>
          <w:szCs w:val="32"/>
        </w:rPr>
        <w:t>加快商贸服务业现代化、信息化步伐，加大科技扶持、政策扶持和资金扶持力度，打造西北专业化集散流通中心及宁夏现代化商贸物流示范基地，积极</w:t>
      </w:r>
      <w:r>
        <w:rPr>
          <w:rStyle w:val="12"/>
          <w:rFonts w:ascii="Times New Roman" w:hAnsi="Times New Roman" w:cs="Times New Roman"/>
          <w:sz w:val="32"/>
          <w:szCs w:val="32"/>
        </w:rPr>
        <w:t>申报国家现代服务业示范基地。</w:t>
      </w:r>
    </w:p>
    <w:p w14:paraId="505955F4">
      <w:pPr>
        <w:adjustRightInd w:val="0"/>
        <w:snapToGrid w:val="0"/>
        <w:spacing w:line="620" w:lineRule="exact"/>
        <w:ind w:firstLine="643"/>
        <w:rPr>
          <w:rFonts w:ascii="Times New Roman" w:hAnsi="Times New Roman" w:cs="Times New Roman"/>
          <w:sz w:val="32"/>
          <w:szCs w:val="32"/>
        </w:rPr>
      </w:pPr>
      <w:r>
        <w:rPr>
          <w:rFonts w:ascii="Times New Roman" w:hAnsi="Times New Roman" w:cs="Times New Roman"/>
          <w:b/>
          <w:sz w:val="32"/>
          <w:szCs w:val="32"/>
        </w:rPr>
        <w:t>壮大商贸物流企业集群。</w:t>
      </w:r>
      <w:r>
        <w:rPr>
          <w:rFonts w:ascii="Times New Roman" w:hAnsi="Times New Roman" w:cs="Times New Roman"/>
          <w:sz w:val="32"/>
          <w:szCs w:val="32"/>
        </w:rPr>
        <w:t>鼓励企业转变观念，改造和整合企业闲置厂房、仓库、设备、设施，建立物流集散平台。推动传统物流企业转型，扶持、培育、推动有条件的运输、仓储和代理企业向第三方物流企业转变。</w:t>
      </w:r>
    </w:p>
    <w:p w14:paraId="628F89FA">
      <w:pPr>
        <w:adjustRightInd w:val="0"/>
        <w:snapToGrid w:val="0"/>
        <w:spacing w:line="620" w:lineRule="exact"/>
        <w:ind w:firstLine="643"/>
        <w:rPr>
          <w:rFonts w:ascii="Times New Roman" w:hAnsi="Times New Roman" w:cs="Times New Roman"/>
          <w:sz w:val="32"/>
          <w:szCs w:val="32"/>
        </w:rPr>
      </w:pPr>
      <w:r>
        <w:rPr>
          <w:rFonts w:ascii="Times New Roman" w:hAnsi="Times New Roman" w:cs="Times New Roman"/>
          <w:b/>
          <w:sz w:val="32"/>
          <w:szCs w:val="32"/>
        </w:rPr>
        <w:t>建设现代物流园区。</w:t>
      </w:r>
      <w:r>
        <w:rPr>
          <w:rFonts w:ascii="Times New Roman" w:hAnsi="Times New Roman" w:cs="Times New Roman"/>
          <w:sz w:val="32"/>
          <w:szCs w:val="32"/>
        </w:rPr>
        <w:t>实施北环批发市场、东环批发市场的综合改造，做大做强众一物流园、交通物流园，提升物流服务水平。利用综保区、滨河新区、沿黄经济带的区位交通优势和产业基础，积极引进国内外大型物流企业，高起点规划建设物流园区。依托银西高铁及北京路延伸段落地项目，建设掌政镇仓储物流中心，整合物流资源，拉长产业服务链。</w:t>
      </w:r>
    </w:p>
    <w:p w14:paraId="61073868">
      <w:pPr>
        <w:adjustRightInd w:val="0"/>
        <w:snapToGrid w:val="0"/>
        <w:spacing w:after="156" w:afterLines="50" w:line="620" w:lineRule="exact"/>
        <w:ind w:firstLine="643"/>
        <w:rPr>
          <w:rFonts w:hint="eastAsia" w:ascii="Times New Roman" w:hAnsi="Times New Roman" w:cs="Times New Roman"/>
          <w:sz w:val="32"/>
          <w:szCs w:val="32"/>
        </w:rPr>
      </w:pPr>
      <w:r>
        <w:rPr>
          <w:rFonts w:ascii="Times New Roman" w:hAnsi="Times New Roman" w:cs="Times New Roman"/>
          <w:b/>
          <w:sz w:val="32"/>
          <w:szCs w:val="32"/>
        </w:rPr>
        <w:t>推进智慧物流发展。</w:t>
      </w:r>
      <w:r>
        <w:rPr>
          <w:rFonts w:ascii="Times New Roman" w:hAnsi="Times New Roman" w:cs="Times New Roman"/>
          <w:bCs/>
          <w:sz w:val="32"/>
          <w:szCs w:val="32"/>
        </w:rPr>
        <w:t>完善基础设施，</w:t>
      </w:r>
      <w:r>
        <w:rPr>
          <w:rFonts w:ascii="Times New Roman" w:hAnsi="Times New Roman" w:cs="Times New Roman"/>
          <w:sz w:val="32"/>
          <w:szCs w:val="32"/>
        </w:rPr>
        <w:t>建设物流信息平台，集成信息发布、信息查询及综合服务功能，提升智慧物流水平。鼓励物流领域使用射频识别、条形码、物联网等现代物流技术，扩大增值服务功能，建立商流、物流、信息流相结合的现代物流模式。</w:t>
      </w:r>
    </w:p>
    <w:p w14:paraId="6ACB30DE">
      <w:pPr>
        <w:adjustRightInd w:val="0"/>
        <w:snapToGrid w:val="0"/>
        <w:spacing w:after="156" w:afterLines="50" w:line="620" w:lineRule="exact"/>
        <w:ind w:firstLine="640"/>
        <w:rPr>
          <w:rFonts w:hint="eastAsia" w:ascii="Times New Roman" w:hAnsi="Times New Roman" w:cs="Times New Roman"/>
          <w:sz w:val="32"/>
          <w:szCs w:val="32"/>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402D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2EBC3BC2">
            <w:pPr>
              <w:pStyle w:val="4"/>
              <w:spacing w:line="240" w:lineRule="auto"/>
              <w:ind w:firstLine="0" w:firstLineChars="0"/>
              <w:jc w:val="center"/>
              <w:rPr>
                <w:rFonts w:hint="eastAsia" w:ascii="仿宋_GB2312" w:hAnsi="Times New Roman" w:eastAsia="仿宋_GB2312" w:cs="Times New Roman"/>
                <w:b/>
                <w:sz w:val="24"/>
                <w:szCs w:val="24"/>
              </w:rPr>
            </w:pPr>
            <w:bookmarkStart w:id="83" w:name="_Toc441134507"/>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6</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兴庆区物流发展重大项目</w:t>
            </w:r>
            <w:bookmarkEnd w:id="83"/>
          </w:p>
        </w:tc>
      </w:tr>
      <w:tr w14:paraId="0100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1" w:hRule="atLeast"/>
          <w:jc w:val="center"/>
        </w:trPr>
        <w:tc>
          <w:tcPr>
            <w:tcW w:w="8732" w:type="dxa"/>
            <w:noWrap w:val="0"/>
            <w:vAlign w:val="center"/>
          </w:tcPr>
          <w:p w14:paraId="5E5CE5A9">
            <w:pPr>
              <w:spacing w:line="240" w:lineRule="auto"/>
              <w:ind w:firstLine="480"/>
              <w:rPr>
                <w:rFonts w:ascii="Times New Roman" w:hAnsi="Times New Roman" w:cs="Times New Roman"/>
                <w:sz w:val="24"/>
                <w:szCs w:val="24"/>
              </w:rPr>
            </w:pPr>
            <w:r>
              <w:rPr>
                <w:rFonts w:ascii="Times New Roman" w:hAnsi="Times New Roman" w:cs="Times New Roman"/>
                <w:sz w:val="24"/>
                <w:szCs w:val="24"/>
              </w:rPr>
              <w:t xml:space="preserve">（1）掌政镇仓储物流中心：项目总投资5000万元，依托银西高铁项目、北京路延伸段等重大项目的落地，打造集加工制作、货运周转的现代仓储物流中心及再就业创业产业基地。标准化厂房3万平方米，解决掌政村、春林村被征地农民创业再就业问题。 </w:t>
            </w:r>
          </w:p>
          <w:p w14:paraId="7F793F83">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（2）立达国际建材五金家居物流博览城（在建）：项目总占地990亩，主要建设集展示、仓储、配送、配套生活区、公寓、超市、商务中心、办公写字楼、酒店等于一体的物流综合体。</w:t>
            </w:r>
          </w:p>
          <w:p w14:paraId="7BE53710">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（3）宁夏交通物流园项目：项目总占地1509亩，总投资10亿元。目前园区一期工程建设基本完成，主要建成配套齐全的现代化智慧物流园区。</w:t>
            </w:r>
          </w:p>
        </w:tc>
      </w:tr>
    </w:tbl>
    <w:p w14:paraId="32E33BB0">
      <w:pPr>
        <w:pStyle w:val="3"/>
        <w:spacing w:before="312" w:beforeLines="100" w:after="156" w:afterLines="50" w:line="520" w:lineRule="exact"/>
        <w:ind w:firstLine="0" w:firstLineChars="0"/>
        <w:jc w:val="center"/>
        <w:rPr>
          <w:rFonts w:ascii="黑体" w:hAnsi="Times New Roman" w:eastAsia="黑体" w:cs="Times New Roman"/>
          <w:b w:val="0"/>
        </w:rPr>
      </w:pPr>
      <w:bookmarkStart w:id="84" w:name="_Toc439358316"/>
      <w:r>
        <w:rPr>
          <w:rFonts w:ascii="黑体" w:hAnsi="Times New Roman" w:eastAsia="黑体" w:cs="Times New Roman"/>
          <w:b w:val="0"/>
        </w:rPr>
        <w:t>第三节</w:t>
      </w:r>
      <w:bookmarkEnd w:id="65"/>
      <w:r>
        <w:rPr>
          <w:rFonts w:ascii="黑体" w:hAnsi="Times New Roman" w:eastAsia="黑体" w:cs="Times New Roman"/>
          <w:b w:val="0"/>
        </w:rPr>
        <w:t xml:space="preserve">  改造升级新华商圈</w:t>
      </w:r>
      <w:bookmarkEnd w:id="84"/>
    </w:p>
    <w:p w14:paraId="22AEE7AF">
      <w:pPr>
        <w:adjustRightInd w:val="0"/>
        <w:snapToGrid w:val="0"/>
        <w:spacing w:line="610" w:lineRule="exact"/>
        <w:ind w:firstLine="640"/>
        <w:rPr>
          <w:rFonts w:ascii="Times New Roman" w:hAnsi="Times New Roman" w:cs="Times New Roman"/>
          <w:sz w:val="32"/>
          <w:szCs w:val="32"/>
        </w:rPr>
      </w:pPr>
      <w:r>
        <w:rPr>
          <w:rFonts w:ascii="Times New Roman" w:hAnsi="Times New Roman" w:cs="Times New Roman"/>
          <w:sz w:val="32"/>
          <w:szCs w:val="32"/>
        </w:rPr>
        <w:t>以文化、商业为龙头，打造银川市集生活娱乐、休闲购物和文化旅游等功能于一体的现代时尚商圈，宁夏及西北地区旅游者的购物、消费目的地，西北地区具有国际水准的商贸集散中心。</w:t>
      </w:r>
    </w:p>
    <w:p w14:paraId="529425F1">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改善基础设施，调整业态布局。</w:t>
      </w:r>
      <w:r>
        <w:rPr>
          <w:rFonts w:ascii="Times New Roman" w:hAnsi="Times New Roman" w:cs="Times New Roman"/>
          <w:sz w:val="32"/>
          <w:szCs w:val="32"/>
        </w:rPr>
        <w:t>以新华百货的改造为代表项目，规划调整新华商圈土地，多拆少建，集中拆迁一批老旧小区和商贸店铺，腾出空地，增加草坪、绿地、广场、停车位等公共设施用地。建设新华街空中连廊，连接各大商业综合体，提升居民消费方便度，增强新华商圈的集聚规模。</w:t>
      </w:r>
    </w:p>
    <w:p w14:paraId="60E818D7">
      <w:pPr>
        <w:adjustRightInd w:val="0"/>
        <w:snapToGrid w:val="0"/>
        <w:spacing w:after="156" w:afterLines="50" w:line="610" w:lineRule="exact"/>
        <w:ind w:firstLine="643"/>
        <w:rPr>
          <w:rFonts w:ascii="Times New Roman" w:hAnsi="Times New Roman" w:cs="Times New Roman"/>
          <w:sz w:val="32"/>
          <w:szCs w:val="32"/>
        </w:rPr>
      </w:pPr>
      <w:r>
        <w:rPr>
          <w:rFonts w:ascii="Times New Roman" w:hAnsi="Times New Roman" w:cs="Times New Roman"/>
          <w:b/>
          <w:sz w:val="32"/>
          <w:szCs w:val="32"/>
        </w:rPr>
        <w:t>优化商圈结构，提升商业氛围。</w:t>
      </w:r>
      <w:r>
        <w:rPr>
          <w:rFonts w:ascii="Times New Roman" w:hAnsi="Times New Roman" w:cs="Times New Roman"/>
          <w:sz w:val="32"/>
          <w:szCs w:val="32"/>
        </w:rPr>
        <w:t>以银祥酒店等重点项目改造为契机，优化商圈结构，打造创意文化休闲区、现代商业集聚区、城市生活服务区三大特色板块。创意文化休闲区积极培育特色商业街区，丰富商圈新型业态；现代商业集聚区大力引进国内外著名商业零售企业和高端品牌，提升新华商圈经营档次；城市生活服务区推进连锁经营、特许经营、电子商务等组织形式和服务方式，提高服务质量和经营效益。</w:t>
      </w:r>
    </w:p>
    <w:p w14:paraId="118979AF">
      <w:pPr>
        <w:ind w:firstLine="0" w:firstLineChars="0"/>
        <w:jc w:val="center"/>
        <w:rPr>
          <w:rFonts w:ascii="Times New Roman" w:hAnsi="Times New Roman" w:cs="Times New Roman"/>
          <w:szCs w:val="30"/>
        </w:rPr>
      </w:pPr>
      <w:r>
        <w:rPr>
          <w:rFonts w:ascii="Times New Roman" w:hAnsi="Times New Roman" w:cs="Times New Roman"/>
          <w:szCs w:val="30"/>
        </w:rPr>
        <w:drawing>
          <wp:inline distT="0" distB="0" distL="114300" distR="114300">
            <wp:extent cx="5209540" cy="3418205"/>
            <wp:effectExtent l="0" t="0" r="254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5209540" cy="3418205"/>
                    </a:xfrm>
                    <a:prstGeom prst="rect">
                      <a:avLst/>
                    </a:prstGeom>
                    <a:noFill/>
                    <a:ln>
                      <a:noFill/>
                    </a:ln>
                  </pic:spPr>
                </pic:pic>
              </a:graphicData>
            </a:graphic>
          </wp:inline>
        </w:drawing>
      </w:r>
    </w:p>
    <w:p w14:paraId="2ED96468">
      <w:pPr>
        <w:adjustRightInd w:val="0"/>
        <w:snapToGrid w:val="0"/>
        <w:spacing w:line="520" w:lineRule="exact"/>
        <w:ind w:firstLine="0" w:firstLineChars="0"/>
        <w:jc w:val="center"/>
        <w:rPr>
          <w:rFonts w:ascii="仿宋_GB2312" w:hAnsi="Times New Roman" w:cs="Times New Roman"/>
          <w:b/>
          <w:sz w:val="24"/>
          <w:szCs w:val="24"/>
        </w:rPr>
      </w:pPr>
      <w:bookmarkStart w:id="85" w:name="_Toc441134457"/>
      <w:r>
        <w:rPr>
          <w:rFonts w:ascii="仿宋_GB2312" w:hAnsi="Times New Roman" w:cs="Times New Roman"/>
          <w:b/>
          <w:sz w:val="24"/>
          <w:szCs w:val="24"/>
        </w:rPr>
        <w:t>图</w:t>
      </w:r>
      <w:r>
        <w:rPr>
          <w:rFonts w:ascii="仿宋_GB2312" w:hAnsi="Times New Roman" w:cs="Times New Roman"/>
          <w:b/>
          <w:sz w:val="24"/>
          <w:szCs w:val="24"/>
        </w:rPr>
        <w:fldChar w:fldCharType="begin"/>
      </w:r>
      <w:r>
        <w:rPr>
          <w:rFonts w:ascii="仿宋_GB2312" w:hAnsi="Times New Roman" w:cs="Times New Roman"/>
          <w:b/>
          <w:sz w:val="24"/>
          <w:szCs w:val="24"/>
        </w:rPr>
        <w:instrText xml:space="preserve"> SEQ 图 \* ARABIC </w:instrText>
      </w:r>
      <w:r>
        <w:rPr>
          <w:rFonts w:ascii="仿宋_GB2312" w:hAnsi="Times New Roman" w:cs="Times New Roman"/>
          <w:b/>
          <w:sz w:val="24"/>
          <w:szCs w:val="24"/>
        </w:rPr>
        <w:fldChar w:fldCharType="separate"/>
      </w:r>
      <w:r>
        <w:rPr>
          <w:rFonts w:ascii="仿宋_GB2312" w:hAnsi="Times New Roman" w:cs="Times New Roman"/>
          <w:b/>
          <w:sz w:val="24"/>
          <w:szCs w:val="24"/>
        </w:rPr>
        <w:t>3</w:t>
      </w:r>
      <w:r>
        <w:rPr>
          <w:rFonts w:ascii="仿宋_GB2312" w:hAnsi="Times New Roman" w:cs="Times New Roman"/>
          <w:b/>
          <w:sz w:val="24"/>
          <w:szCs w:val="24"/>
        </w:rPr>
        <w:fldChar w:fldCharType="end"/>
      </w:r>
      <w:r>
        <w:rPr>
          <w:rFonts w:ascii="仿宋_GB2312" w:hAnsi="Times New Roman" w:cs="Times New Roman"/>
          <w:b/>
          <w:sz w:val="24"/>
          <w:szCs w:val="24"/>
        </w:rPr>
        <w:t xml:space="preserve"> </w:t>
      </w:r>
      <w:r>
        <w:rPr>
          <w:rFonts w:hint="eastAsia" w:ascii="仿宋_GB2312" w:hAnsi="Times New Roman" w:cs="Times New Roman"/>
          <w:b/>
          <w:sz w:val="24"/>
          <w:szCs w:val="24"/>
        </w:rPr>
        <w:t xml:space="preserve">  </w:t>
      </w:r>
      <w:r>
        <w:rPr>
          <w:rFonts w:ascii="仿宋_GB2312" w:hAnsi="Times New Roman" w:cs="Times New Roman"/>
          <w:b/>
          <w:sz w:val="24"/>
          <w:szCs w:val="24"/>
        </w:rPr>
        <w:t>新华商圈改造布局</w:t>
      </w:r>
      <w:bookmarkEnd w:id="85"/>
    </w:p>
    <w:p w14:paraId="0397B05B">
      <w:pPr>
        <w:spacing w:line="240" w:lineRule="exact"/>
        <w:ind w:firstLine="600"/>
        <w:rPr>
          <w:rFonts w:ascii="Times New Roman" w:hAnsi="Times New Roman" w:cs="Times New Roman"/>
          <w:szCs w:val="30"/>
        </w:rPr>
      </w:pPr>
    </w:p>
    <w:p w14:paraId="69AAAF46">
      <w:pPr>
        <w:spacing w:after="156" w:afterLines="50" w:line="610" w:lineRule="exact"/>
        <w:ind w:firstLine="643"/>
        <w:rPr>
          <w:rFonts w:ascii="Times New Roman" w:hAnsi="Times New Roman" w:cs="Times New Roman"/>
          <w:color w:val="000000"/>
          <w:sz w:val="32"/>
          <w:szCs w:val="32"/>
          <w:shd w:val="clear" w:color="auto" w:fill="FFFFFF"/>
        </w:rPr>
      </w:pPr>
      <w:r>
        <w:rPr>
          <w:rFonts w:hint="eastAsia" w:ascii="仿宋_GB2312" w:hAnsi="Times New Roman" w:cs="Times New Roman"/>
          <w:b/>
          <w:sz w:val="32"/>
          <w:szCs w:val="32"/>
        </w:rPr>
        <w:t>融入“互联网+”，提升购物环境</w:t>
      </w:r>
      <w:r>
        <w:rPr>
          <w:rFonts w:hint="eastAsia" w:ascii="仿宋_GB2312" w:hAnsi="Times New Roman" w:cs="Times New Roman"/>
          <w:sz w:val="32"/>
          <w:szCs w:val="32"/>
        </w:rPr>
        <w:t>。一是优化购物环境，新建</w:t>
      </w:r>
      <w:r>
        <w:rPr>
          <w:rFonts w:ascii="Times New Roman" w:hAnsi="Times New Roman" w:cs="Times New Roman"/>
          <w:sz w:val="32"/>
          <w:szCs w:val="32"/>
        </w:rPr>
        <w:t>和改造商业综合体，增加休闲、餐饮、娱乐、艺术业态以及儿童体验职业馆、博物馆、水族馆等形态，打造集购物、休闲、旅游为一体的购物中心。二是尝试双线营销，实现线上线下融合，</w:t>
      </w:r>
      <w:r>
        <w:rPr>
          <w:rFonts w:ascii="Times New Roman" w:hAnsi="Times New Roman" w:cs="Times New Roman"/>
          <w:color w:val="000000"/>
          <w:sz w:val="32"/>
          <w:szCs w:val="32"/>
          <w:shd w:val="clear" w:color="auto" w:fill="FFFFFF"/>
        </w:rPr>
        <w:t>引入在线下单、移动支付和快捷配送，吸引年轻客群。通过微信服务号平台、CRM（客户关系管理）等系统增强与顾客之间的互动，优化会员服务。</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7498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54CB18FB">
            <w:pPr>
              <w:pStyle w:val="4"/>
              <w:spacing w:line="240" w:lineRule="auto"/>
              <w:ind w:firstLine="0" w:firstLineChars="0"/>
              <w:jc w:val="center"/>
              <w:rPr>
                <w:rFonts w:hint="eastAsia" w:ascii="仿宋_GB2312" w:hAnsi="Times New Roman" w:eastAsia="仿宋_GB2312" w:cs="Times New Roman"/>
                <w:b/>
                <w:sz w:val="24"/>
                <w:szCs w:val="24"/>
              </w:rPr>
            </w:pPr>
            <w:bookmarkStart w:id="86" w:name="_Toc441134508"/>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7</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新华商圈发展方向及重大项目</w:t>
            </w:r>
            <w:bookmarkEnd w:id="86"/>
          </w:p>
        </w:tc>
      </w:tr>
      <w:tr w14:paraId="01D8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26BF29A8">
            <w:pPr>
              <w:spacing w:line="240" w:lineRule="auto"/>
              <w:ind w:firstLine="480"/>
              <w:rPr>
                <w:rFonts w:ascii="Times New Roman" w:hAnsi="Times New Roman" w:cs="Times New Roman"/>
                <w:sz w:val="24"/>
                <w:szCs w:val="24"/>
              </w:rPr>
            </w:pPr>
            <w:r>
              <w:rPr>
                <w:rFonts w:ascii="Times New Roman" w:hAnsi="Times New Roman" w:cs="Times New Roman"/>
                <w:sz w:val="24"/>
                <w:szCs w:val="24"/>
              </w:rPr>
              <w:t>（1）创意文化休闲区：发展沿街文化创意、娱乐休闲运动、民俗演艺展示、酒吧休闲艺术等，打造休闲娱乐特色街。</w:t>
            </w:r>
          </w:p>
          <w:p w14:paraId="7459A4DD">
            <w:pPr>
              <w:spacing w:line="240" w:lineRule="auto"/>
              <w:ind w:firstLine="480"/>
              <w:rPr>
                <w:rFonts w:ascii="Times New Roman" w:hAnsi="Times New Roman" w:cs="Times New Roman"/>
                <w:sz w:val="24"/>
                <w:szCs w:val="24"/>
              </w:rPr>
            </w:pPr>
            <w:r>
              <w:rPr>
                <w:rFonts w:ascii="Times New Roman" w:hAnsi="Times New Roman" w:cs="Times New Roman"/>
                <w:sz w:val="24"/>
                <w:szCs w:val="24"/>
              </w:rPr>
              <w:t>（2）现代商业集聚区：发展商业及观光购物、研发设计及贸易展示等于一体的国际化购物中心及专业市场。</w:t>
            </w:r>
          </w:p>
          <w:p w14:paraId="529C2B2C">
            <w:pPr>
              <w:spacing w:line="240" w:lineRule="auto"/>
              <w:ind w:firstLine="480"/>
              <w:rPr>
                <w:rFonts w:ascii="Times New Roman" w:hAnsi="Times New Roman" w:cs="Times New Roman"/>
                <w:sz w:val="24"/>
                <w:szCs w:val="24"/>
              </w:rPr>
            </w:pPr>
            <w:r>
              <w:rPr>
                <w:rFonts w:ascii="Times New Roman" w:hAnsi="Times New Roman" w:cs="Times New Roman"/>
                <w:sz w:val="24"/>
                <w:szCs w:val="24"/>
              </w:rPr>
              <w:t>（3）城市生活服务区：建立宁甘蒙陕毗邻地区信息港网站集聚平台</w:t>
            </w:r>
            <w:r>
              <w:rPr>
                <w:rFonts w:hint="eastAsia" w:ascii="Times New Roman" w:hAnsi="Times New Roman" w:cs="Times New Roman"/>
                <w:sz w:val="24"/>
                <w:szCs w:val="24"/>
                <w:lang w:eastAsia="zh-CN"/>
              </w:rPr>
              <w:t>，</w:t>
            </w:r>
            <w:r>
              <w:rPr>
                <w:rFonts w:ascii="Times New Roman" w:hAnsi="Times New Roman" w:cs="Times New Roman"/>
                <w:sz w:val="24"/>
                <w:szCs w:val="24"/>
              </w:rPr>
              <w:t>便民服务电商平台。</w:t>
            </w:r>
          </w:p>
          <w:p w14:paraId="28687051">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4）新华百货改造：总投资5亿元，建设地下三层至地上六层，其中地下三层、二层为停车场，地下一层为超市，地上一至六层为百货、餐饮、娱乐、影院等，打造宁夏乃至西北极具特色的休闲、娱乐、体验、购物于一体的城市商业中心。</w:t>
            </w:r>
          </w:p>
          <w:p w14:paraId="13F1288C">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（5）银祥酒店收购改造项目：投资3.5亿元，对原酒店进行商业改造，成为以黄金珠宝名品销售为主的高端商业购物中心。</w:t>
            </w:r>
          </w:p>
        </w:tc>
      </w:tr>
      <w:bookmarkEnd w:id="55"/>
      <w:bookmarkEnd w:id="66"/>
    </w:tbl>
    <w:p w14:paraId="51C4D528">
      <w:pPr>
        <w:pStyle w:val="3"/>
        <w:spacing w:before="312" w:beforeLines="100" w:after="156" w:afterLines="50" w:line="520" w:lineRule="exact"/>
        <w:ind w:firstLine="0" w:firstLineChars="0"/>
        <w:jc w:val="center"/>
        <w:rPr>
          <w:rFonts w:ascii="黑体" w:hAnsi="Times New Roman" w:eastAsia="黑体" w:cs="Times New Roman"/>
          <w:b w:val="0"/>
        </w:rPr>
      </w:pPr>
      <w:bookmarkStart w:id="87" w:name="_Toc439358317"/>
      <w:bookmarkStart w:id="88" w:name="_Toc438133206"/>
      <w:bookmarkStart w:id="89" w:name="_Toc438133498"/>
      <w:bookmarkStart w:id="90" w:name="_Toc437344100"/>
      <w:r>
        <w:rPr>
          <w:rFonts w:ascii="黑体" w:hAnsi="Times New Roman" w:eastAsia="黑体" w:cs="Times New Roman"/>
          <w:b w:val="0"/>
        </w:rPr>
        <w:t>第四节  培育发展通航产业</w:t>
      </w:r>
      <w:bookmarkEnd w:id="87"/>
    </w:p>
    <w:bookmarkEnd w:id="88"/>
    <w:bookmarkEnd w:id="89"/>
    <w:bookmarkEnd w:id="90"/>
    <w:p w14:paraId="440C23C9">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争取国家低空开放试点。</w:t>
      </w:r>
      <w:r>
        <w:rPr>
          <w:rFonts w:ascii="Times New Roman" w:hAnsi="Times New Roman" w:cs="Times New Roman"/>
          <w:sz w:val="32"/>
          <w:szCs w:val="32"/>
        </w:rPr>
        <w:t>顺应国家2011</w:t>
      </w:r>
      <w:r>
        <w:rPr>
          <w:rFonts w:hint="eastAsia" w:ascii="仿宋_GB2312" w:hAnsi="Times New Roman" w:cs="Times New Roman"/>
          <w:sz w:val="32"/>
          <w:szCs w:val="32"/>
        </w:rPr>
        <w:t>-</w:t>
      </w:r>
      <w:r>
        <w:rPr>
          <w:rFonts w:ascii="Times New Roman" w:hAnsi="Times New Roman" w:cs="Times New Roman"/>
          <w:sz w:val="32"/>
          <w:szCs w:val="32"/>
        </w:rPr>
        <w:t>2015年通航改革计划，争取成为兰州管制区内低空开放试点，实现通航飞行活动归口管理。制定通航发展规划，配合与协调自治区、银川市出台产业扶持政策，努力打造西部地区低空开放试点区。</w:t>
      </w:r>
    </w:p>
    <w:p w14:paraId="6BD05834">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打造西北通用航空枢纽。</w:t>
      </w:r>
      <w:r>
        <w:rPr>
          <w:rFonts w:ascii="Times New Roman" w:hAnsi="Times New Roman" w:cs="Times New Roman"/>
          <w:sz w:val="32"/>
          <w:szCs w:val="32"/>
        </w:rPr>
        <w:t>充分利用银川市作为中国向西开放战略高地和桥头堡、丝绸之路经济带重要节点等区位优势及政策条件，积极加强与区内外通航机场合作，实现资源共享，形成通航基地飞行网络，打造西北地区通航枢纽中心。</w:t>
      </w:r>
    </w:p>
    <w:p w14:paraId="5D91ACBB">
      <w:pPr>
        <w:adjustRightInd w:val="0"/>
        <w:snapToGrid w:val="0"/>
        <w:spacing w:after="156" w:afterLines="50" w:line="610" w:lineRule="exact"/>
        <w:ind w:firstLine="643"/>
        <w:rPr>
          <w:rFonts w:ascii="Times New Roman" w:hAnsi="Times New Roman" w:cs="Times New Roman"/>
          <w:sz w:val="32"/>
          <w:szCs w:val="32"/>
        </w:rPr>
      </w:pPr>
      <w:r>
        <w:rPr>
          <w:rFonts w:hint="eastAsia" w:ascii="仿宋_GB2312" w:hAnsi="Times New Roman" w:cs="Times New Roman"/>
          <w:b/>
          <w:sz w:val="32"/>
          <w:szCs w:val="32"/>
        </w:rPr>
        <w:t>构建通航全产业链。</w:t>
      </w:r>
      <w:r>
        <w:rPr>
          <w:rFonts w:hint="eastAsia" w:ascii="仿宋_GB2312" w:hAnsi="Times New Roman" w:cs="Times New Roman"/>
          <w:sz w:val="32"/>
          <w:szCs w:val="32"/>
        </w:rPr>
        <w:t>以“一基地一社区三中心”（即：航空</w:t>
      </w:r>
      <w:r>
        <w:rPr>
          <w:rFonts w:ascii="Times New Roman" w:hAnsi="Times New Roman" w:cs="Times New Roman"/>
          <w:sz w:val="32"/>
          <w:szCs w:val="32"/>
        </w:rPr>
        <w:t>器组装制造基地、通用航空主题社区、通航运营中心、通航物流中心、通航服务中心）为发展目标，打造中国西部低空开放试点区、西北地区通航枢纽中心、国内一流通航产业园。培育和引进3</w:t>
      </w:r>
      <w:r>
        <w:rPr>
          <w:rFonts w:hint="eastAsia" w:ascii="仿宋_GB2312" w:hAnsi="Times New Roman" w:cs="Times New Roman"/>
          <w:sz w:val="32"/>
          <w:szCs w:val="32"/>
        </w:rPr>
        <w:t>-</w:t>
      </w:r>
      <w:r>
        <w:rPr>
          <w:rFonts w:ascii="Times New Roman" w:hAnsi="Times New Roman" w:cs="Times New Roman"/>
          <w:sz w:val="32"/>
          <w:szCs w:val="32"/>
        </w:rPr>
        <w:t>5家通航运营公司、2</w:t>
      </w:r>
      <w:r>
        <w:rPr>
          <w:rFonts w:hint="eastAsia" w:ascii="仿宋_GB2312" w:hAnsi="Times New Roman" w:cs="Times New Roman"/>
          <w:sz w:val="32"/>
          <w:szCs w:val="32"/>
        </w:rPr>
        <w:t>-</w:t>
      </w:r>
      <w:r>
        <w:rPr>
          <w:rFonts w:ascii="Times New Roman" w:hAnsi="Times New Roman" w:cs="Times New Roman"/>
          <w:sz w:val="32"/>
          <w:szCs w:val="32"/>
        </w:rPr>
        <w:t>3家航空器组装制造公司，建设银川通航博物馆、飞机再利用中心，积极举办中国（银川）西部航展系列活动，拓</w:t>
      </w:r>
      <w:r>
        <w:rPr>
          <w:rFonts w:hint="eastAsia" w:ascii="仿宋_GB2312" w:hAnsi="Times New Roman" w:cs="Times New Roman"/>
          <w:sz w:val="32"/>
          <w:szCs w:val="32"/>
        </w:rPr>
        <w:t>展“互联网+”在通航领域的业务。力争“十三五”末，银川通用机</w:t>
      </w:r>
      <w:r>
        <w:rPr>
          <w:rFonts w:ascii="Times New Roman" w:hAnsi="Times New Roman" w:cs="Times New Roman"/>
          <w:sz w:val="32"/>
          <w:szCs w:val="32"/>
        </w:rPr>
        <w:t>场拥有各类航空器达到60架左右，通航业务占宁夏通航业务量的25%以上，实现航空产业产值50亿元。</w:t>
      </w:r>
    </w:p>
    <w:p w14:paraId="4CE13EE8">
      <w:pPr>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5274945" cy="272669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6"/>
                    <a:stretch>
                      <a:fillRect/>
                    </a:stretch>
                  </pic:blipFill>
                  <pic:spPr>
                    <a:xfrm>
                      <a:off x="0" y="0"/>
                      <a:ext cx="5274945" cy="2726690"/>
                    </a:xfrm>
                    <a:prstGeom prst="rect">
                      <a:avLst/>
                    </a:prstGeom>
                    <a:noFill/>
                    <a:ln>
                      <a:noFill/>
                    </a:ln>
                  </pic:spPr>
                </pic:pic>
              </a:graphicData>
            </a:graphic>
          </wp:inline>
        </w:drawing>
      </w:r>
    </w:p>
    <w:p w14:paraId="6FBA34C1">
      <w:pPr>
        <w:adjustRightInd w:val="0"/>
        <w:snapToGrid w:val="0"/>
        <w:spacing w:line="520" w:lineRule="exact"/>
        <w:ind w:firstLine="0" w:firstLineChars="0"/>
        <w:jc w:val="center"/>
        <w:rPr>
          <w:rFonts w:ascii="仿宋_GB2312" w:hAnsi="Times New Roman" w:cs="Times New Roman"/>
          <w:b/>
          <w:sz w:val="24"/>
          <w:szCs w:val="24"/>
        </w:rPr>
      </w:pPr>
      <w:bookmarkStart w:id="91" w:name="_Toc441134458"/>
      <w:r>
        <w:rPr>
          <w:rFonts w:ascii="仿宋_GB2312" w:hAnsi="Times New Roman" w:cs="Times New Roman"/>
          <w:b/>
          <w:sz w:val="24"/>
          <w:szCs w:val="24"/>
        </w:rPr>
        <w:t>图</w:t>
      </w:r>
      <w:r>
        <w:rPr>
          <w:rFonts w:ascii="仿宋_GB2312" w:hAnsi="Times New Roman" w:cs="Times New Roman"/>
          <w:b/>
          <w:sz w:val="24"/>
          <w:szCs w:val="24"/>
        </w:rPr>
        <w:fldChar w:fldCharType="begin"/>
      </w:r>
      <w:r>
        <w:rPr>
          <w:rFonts w:ascii="仿宋_GB2312" w:hAnsi="Times New Roman" w:cs="Times New Roman"/>
          <w:b/>
          <w:sz w:val="24"/>
          <w:szCs w:val="24"/>
        </w:rPr>
        <w:instrText xml:space="preserve"> SEQ 图 \* ARABIC </w:instrText>
      </w:r>
      <w:r>
        <w:rPr>
          <w:rFonts w:ascii="仿宋_GB2312" w:hAnsi="Times New Roman" w:cs="Times New Roman"/>
          <w:b/>
          <w:sz w:val="24"/>
          <w:szCs w:val="24"/>
        </w:rPr>
        <w:fldChar w:fldCharType="separate"/>
      </w:r>
      <w:r>
        <w:rPr>
          <w:rFonts w:ascii="仿宋_GB2312" w:hAnsi="Times New Roman" w:cs="Times New Roman"/>
          <w:b/>
          <w:sz w:val="24"/>
          <w:szCs w:val="24"/>
        </w:rPr>
        <w:t>4</w:t>
      </w:r>
      <w:r>
        <w:rPr>
          <w:rFonts w:ascii="仿宋_GB2312" w:hAnsi="Times New Roman" w:cs="Times New Roman"/>
          <w:b/>
          <w:sz w:val="24"/>
          <w:szCs w:val="24"/>
        </w:rPr>
        <w:fldChar w:fldCharType="end"/>
      </w:r>
      <w:r>
        <w:rPr>
          <w:rFonts w:ascii="仿宋_GB2312" w:hAnsi="Times New Roman" w:cs="Times New Roman"/>
          <w:b/>
          <w:sz w:val="24"/>
          <w:szCs w:val="24"/>
        </w:rPr>
        <w:t xml:space="preserve"> </w:t>
      </w:r>
      <w:r>
        <w:rPr>
          <w:rFonts w:hint="eastAsia" w:ascii="仿宋_GB2312" w:hAnsi="Times New Roman" w:cs="Times New Roman"/>
          <w:b/>
          <w:sz w:val="24"/>
          <w:szCs w:val="24"/>
        </w:rPr>
        <w:t xml:space="preserve">  </w:t>
      </w:r>
      <w:r>
        <w:rPr>
          <w:rFonts w:ascii="仿宋_GB2312" w:hAnsi="Times New Roman" w:cs="Times New Roman"/>
          <w:b/>
          <w:sz w:val="24"/>
          <w:szCs w:val="24"/>
        </w:rPr>
        <w:t>兴庆区通航产业体系</w:t>
      </w:r>
      <w:bookmarkEnd w:id="91"/>
    </w:p>
    <w:p w14:paraId="46F40EAB">
      <w:pPr>
        <w:spacing w:line="520" w:lineRule="exact"/>
        <w:ind w:firstLine="600"/>
        <w:rPr>
          <w:rFonts w:ascii="Times New Roman" w:hAnsi="Times New Roman" w:cs="Times New Roma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5DC7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6D421183">
            <w:pPr>
              <w:pStyle w:val="4"/>
              <w:spacing w:line="240" w:lineRule="auto"/>
              <w:ind w:firstLine="0" w:firstLineChars="0"/>
              <w:jc w:val="center"/>
              <w:rPr>
                <w:rFonts w:hint="eastAsia" w:ascii="仿宋_GB2312" w:hAnsi="Times New Roman" w:eastAsia="仿宋_GB2312" w:cs="Times New Roman"/>
                <w:b/>
                <w:sz w:val="24"/>
                <w:szCs w:val="24"/>
              </w:rPr>
            </w:pPr>
            <w:bookmarkStart w:id="92" w:name="_Toc441134509"/>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8</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通航产业发展重点</w:t>
            </w:r>
            <w:bookmarkEnd w:id="92"/>
          </w:p>
        </w:tc>
      </w:tr>
      <w:tr w14:paraId="1B80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2" w:hRule="atLeast"/>
          <w:jc w:val="center"/>
        </w:trPr>
        <w:tc>
          <w:tcPr>
            <w:tcW w:w="8732" w:type="dxa"/>
            <w:noWrap w:val="0"/>
            <w:vAlign w:val="center"/>
          </w:tcPr>
          <w:p w14:paraId="047084AC">
            <w:pPr>
              <w:spacing w:line="240" w:lineRule="auto"/>
              <w:ind w:firstLine="480"/>
              <w:rPr>
                <w:rFonts w:ascii="Times New Roman" w:hAnsi="Times New Roman" w:cs="Times New Roman"/>
                <w:sz w:val="24"/>
                <w:szCs w:val="24"/>
              </w:rPr>
            </w:pPr>
            <w:r>
              <w:rPr>
                <w:rFonts w:ascii="Times New Roman" w:hAnsi="Times New Roman" w:cs="Times New Roman"/>
                <w:sz w:val="24"/>
                <w:szCs w:val="24"/>
              </w:rPr>
              <w:t>项目位于兴庆区月牙湖乡，总占地面积约16000亩。主要建设通航机场，组装制造航空器，开展航空培训、航空科普、飞行体验、航空救援及航空维修等业务。项目建成后，将打造成辐射西北地区的航空旅游示范基地、航空科普基地、航空人才培训基地、航空体验拓展基地、航空产业基地。</w:t>
            </w:r>
          </w:p>
        </w:tc>
      </w:tr>
    </w:tbl>
    <w:p w14:paraId="76A4301B">
      <w:pPr>
        <w:pStyle w:val="3"/>
        <w:spacing w:before="0" w:beforeLines="0" w:after="0" w:afterLines="0" w:line="240" w:lineRule="exact"/>
        <w:ind w:firstLine="0" w:firstLineChars="0"/>
        <w:jc w:val="center"/>
        <w:rPr>
          <w:rFonts w:hint="eastAsia" w:ascii="黑体" w:hAnsi="Times New Roman" w:eastAsia="黑体" w:cs="Times New Roman"/>
          <w:b w:val="0"/>
        </w:rPr>
      </w:pPr>
      <w:bookmarkStart w:id="93" w:name="_Toc439358318"/>
    </w:p>
    <w:p w14:paraId="52499818">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第五节  提升亮点发展旅游业</w:t>
      </w:r>
      <w:bookmarkEnd w:id="93"/>
    </w:p>
    <w:p w14:paraId="56B4FF10">
      <w:pPr>
        <w:widowControl/>
        <w:spacing w:line="610" w:lineRule="exact"/>
        <w:ind w:firstLine="640"/>
        <w:rPr>
          <w:rFonts w:ascii="Times New Roman" w:hAnsi="Times New Roman" w:cs="Times New Roman"/>
          <w:sz w:val="32"/>
          <w:szCs w:val="32"/>
        </w:rPr>
      </w:pPr>
      <w:r>
        <w:rPr>
          <w:rFonts w:hint="eastAsia" w:ascii="仿宋_GB2312" w:hAnsi="Times New Roman" w:cs="Times New Roman"/>
          <w:sz w:val="32"/>
          <w:szCs w:val="32"/>
        </w:rPr>
        <w:t>依托“繁华都市、黄河湿地、魅力通航、回乡风情”及立达</w:t>
      </w:r>
      <w:r>
        <w:rPr>
          <w:rFonts w:ascii="Times New Roman" w:hAnsi="Times New Roman" w:cs="Times New Roman"/>
          <w:sz w:val="32"/>
          <w:szCs w:val="32"/>
        </w:rPr>
        <w:t>旅游集散中心等资源，发展都市旅游、乡村旅游、通航旅游，将兴庆区打造成西北地区旅游目的地及旅游集散中心。</w:t>
      </w:r>
    </w:p>
    <w:p w14:paraId="0DF931F1">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发展都市旅游。</w:t>
      </w:r>
      <w:r>
        <w:rPr>
          <w:rFonts w:ascii="Times New Roman" w:hAnsi="Times New Roman" w:cs="Times New Roman"/>
          <w:sz w:val="32"/>
          <w:szCs w:val="32"/>
        </w:rPr>
        <w:t>充分挖掘自然风光、回汉文化和西夏历史底蕴，依托新华商圈，优化购物环境，补齐高端休闲、餐饮娱乐、文化创意等业态，提升酒店住宿业水平，整合拉长旅游产业链，发展休闲购物、度假旅游等，打造西北购物天堂和宁夏旅游集散中心。</w:t>
      </w:r>
    </w:p>
    <w:p w14:paraId="5B00D677">
      <w:pPr>
        <w:spacing w:line="610" w:lineRule="exact"/>
        <w:ind w:firstLine="643"/>
        <w:rPr>
          <w:rFonts w:hint="eastAsia" w:ascii="仿宋_GB2312" w:hAnsi="Times New Roman" w:cs="Times New Roman"/>
          <w:sz w:val="32"/>
          <w:szCs w:val="32"/>
        </w:rPr>
      </w:pPr>
      <w:r>
        <w:rPr>
          <w:rFonts w:ascii="Times New Roman" w:hAnsi="Times New Roman" w:cs="Times New Roman"/>
          <w:b/>
          <w:sz w:val="32"/>
          <w:szCs w:val="32"/>
        </w:rPr>
        <w:t>推进乡村旅游。</w:t>
      </w:r>
      <w:r>
        <w:rPr>
          <w:rFonts w:ascii="Times New Roman" w:hAnsi="Times New Roman" w:cs="Times New Roman"/>
          <w:bCs/>
          <w:sz w:val="32"/>
          <w:szCs w:val="32"/>
        </w:rPr>
        <w:t>提升</w:t>
      </w:r>
      <w:r>
        <w:rPr>
          <w:rFonts w:ascii="Times New Roman" w:hAnsi="Times New Roman" w:cs="Times New Roman"/>
          <w:sz w:val="32"/>
          <w:szCs w:val="32"/>
        </w:rPr>
        <w:t>黄沙古渡、鸣翠湖等旅游景点的硬件设施及知名度，打造五A级景区。以现代设施农业、适水产业为基础，结合沿黄生态及掌政镇生态旅游名镇、通贵</w:t>
      </w:r>
      <w:r>
        <w:rPr>
          <w:rFonts w:hint="eastAsia" w:ascii="Times New Roman" w:hAnsi="Times New Roman" w:cs="Times New Roman"/>
          <w:sz w:val="32"/>
          <w:szCs w:val="32"/>
          <w:lang w:eastAsia="zh-CN"/>
        </w:rPr>
        <w:t>滨河民族</w:t>
      </w:r>
      <w:r>
        <w:rPr>
          <w:rFonts w:ascii="Times New Roman" w:hAnsi="Times New Roman" w:cs="Times New Roman"/>
          <w:sz w:val="32"/>
          <w:szCs w:val="32"/>
        </w:rPr>
        <w:t>特色小镇、月牙湖特色小城镇建设，开发休闲垂钓、旅游观光、餐</w:t>
      </w:r>
      <w:r>
        <w:rPr>
          <w:rFonts w:hint="eastAsia" w:ascii="仿宋_GB2312" w:hAnsi="Times New Roman" w:cs="Times New Roman"/>
          <w:sz w:val="32"/>
          <w:szCs w:val="32"/>
        </w:rPr>
        <w:t>饮娱乐等乡村旅游“一日游”线路，大力发展生态观光旅游。</w:t>
      </w:r>
    </w:p>
    <w:p w14:paraId="2CCD9D7F">
      <w:pPr>
        <w:spacing w:after="156" w:afterLines="50" w:line="610" w:lineRule="exact"/>
        <w:ind w:firstLine="643"/>
        <w:rPr>
          <w:rFonts w:ascii="Times New Roman" w:hAnsi="Times New Roman" w:cs="Times New Roman"/>
          <w:sz w:val="32"/>
          <w:szCs w:val="32"/>
        </w:rPr>
      </w:pPr>
      <w:r>
        <w:rPr>
          <w:rFonts w:ascii="Times New Roman" w:hAnsi="Times New Roman" w:cs="Times New Roman"/>
          <w:b/>
          <w:sz w:val="32"/>
          <w:szCs w:val="32"/>
        </w:rPr>
        <w:t>开发通航旅游。</w:t>
      </w:r>
      <w:r>
        <w:rPr>
          <w:rFonts w:ascii="Times New Roman" w:hAnsi="Times New Roman" w:cs="Times New Roman"/>
          <w:sz w:val="32"/>
          <w:szCs w:val="32"/>
        </w:rPr>
        <w:t>依托通航基地与通航小镇，打造产业参观、文化体验、空中览胜等通航观光体验类产品。面向高端客户，开发个性化旅游航线，定制客户自选航空器类型、途经目的地、经停时间等旅游内容。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6D0B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13DC853F">
            <w:pPr>
              <w:pStyle w:val="4"/>
              <w:spacing w:line="240" w:lineRule="auto"/>
              <w:ind w:firstLine="0" w:firstLineChars="0"/>
              <w:jc w:val="center"/>
              <w:rPr>
                <w:rFonts w:hint="eastAsia" w:ascii="仿宋_GB2312" w:hAnsi="Times New Roman" w:eastAsia="仿宋_GB2312" w:cs="Times New Roman"/>
                <w:b/>
                <w:sz w:val="24"/>
                <w:szCs w:val="24"/>
              </w:rPr>
            </w:pPr>
            <w:bookmarkStart w:id="94" w:name="_Toc441134510"/>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9</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旅游产业发展重点及重大项目</w:t>
            </w:r>
            <w:bookmarkEnd w:id="94"/>
          </w:p>
        </w:tc>
      </w:tr>
      <w:tr w14:paraId="22E0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26D81F6B">
            <w:pPr>
              <w:spacing w:line="240" w:lineRule="auto"/>
              <w:ind w:firstLine="480"/>
              <w:rPr>
                <w:rFonts w:ascii="Times New Roman" w:hAnsi="Times New Roman" w:cs="Times New Roman"/>
                <w:sz w:val="24"/>
                <w:szCs w:val="24"/>
              </w:rPr>
            </w:pPr>
            <w:r>
              <w:rPr>
                <w:rFonts w:ascii="Times New Roman" w:hAnsi="Times New Roman" w:cs="Times New Roman"/>
                <w:sz w:val="24"/>
                <w:szCs w:val="24"/>
              </w:rPr>
              <w:t>（1）兴庆区沿黄现代生态观光农业园：整合东部农业生态观光旅游产业，做大做强产业链，完善沿黄掌政镇、通贵乡、月牙湖乡道路、绿化等基础设施建设，推动东部地区产业发展。</w:t>
            </w:r>
          </w:p>
          <w:p w14:paraId="4619F022">
            <w:pPr>
              <w:spacing w:line="240" w:lineRule="auto"/>
              <w:ind w:firstLine="480"/>
              <w:rPr>
                <w:rFonts w:ascii="Times New Roman" w:hAnsi="Times New Roman" w:cs="Times New Roman"/>
                <w:sz w:val="24"/>
                <w:szCs w:val="24"/>
              </w:rPr>
            </w:pPr>
            <w:r>
              <w:rPr>
                <w:rFonts w:ascii="Times New Roman" w:hAnsi="Times New Roman" w:cs="Times New Roman"/>
                <w:sz w:val="24"/>
                <w:szCs w:val="24"/>
              </w:rPr>
              <w:t>（2）黄沙古渡农业生态观光园：位于月牙湖乡黄沙古渡景区，占地600亩，主要建设长红枣园、红枸杞园、黑枸杞园、锁阳园、游客休息厅等基础设施。</w:t>
            </w:r>
          </w:p>
          <w:p w14:paraId="669405EB">
            <w:pPr>
              <w:spacing w:line="240" w:lineRule="auto"/>
              <w:ind w:firstLine="480"/>
              <w:rPr>
                <w:rFonts w:ascii="Times New Roman" w:hAnsi="Times New Roman" w:cs="Times New Roman"/>
                <w:sz w:val="24"/>
                <w:szCs w:val="24"/>
              </w:rPr>
            </w:pPr>
            <w:r>
              <w:rPr>
                <w:rFonts w:ascii="Times New Roman" w:hAnsi="Times New Roman" w:cs="Times New Roman"/>
                <w:sz w:val="24"/>
                <w:szCs w:val="24"/>
              </w:rPr>
              <w:t>（3）鸣翠湖国家湿地公园部分建设项目：实施园区游览道路基础设施建设及环境整治工程、智能管理硬件基础设施建设工程、水上乐园建设项目、四季滑雪场建设项目。</w:t>
            </w:r>
          </w:p>
          <w:p w14:paraId="26E3CCCE">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（4）通航旅游：发展产业参观、文化体验等观光体验，飞行体验等运动休闲，及通航赛事、航空会展等赛事活动。</w:t>
            </w:r>
          </w:p>
        </w:tc>
      </w:tr>
    </w:tbl>
    <w:p w14:paraId="0EB82E11">
      <w:pPr>
        <w:pStyle w:val="3"/>
        <w:spacing w:before="312" w:beforeLines="100" w:after="156" w:afterLines="50" w:line="520" w:lineRule="exact"/>
        <w:ind w:firstLine="0" w:firstLineChars="0"/>
        <w:jc w:val="center"/>
        <w:rPr>
          <w:rFonts w:ascii="黑体" w:hAnsi="Times New Roman" w:eastAsia="黑体" w:cs="Times New Roman"/>
          <w:b w:val="0"/>
        </w:rPr>
      </w:pPr>
      <w:bookmarkStart w:id="95" w:name="_Toc439358319"/>
      <w:bookmarkStart w:id="96" w:name="_Toc437344109"/>
      <w:r>
        <w:rPr>
          <w:rFonts w:ascii="黑体" w:hAnsi="Times New Roman" w:eastAsia="黑体" w:cs="Times New Roman"/>
          <w:b w:val="0"/>
        </w:rPr>
        <w:t>第六节  以科技助推文化创意产业</w:t>
      </w:r>
      <w:bookmarkEnd w:id="95"/>
    </w:p>
    <w:p w14:paraId="33EF2C73">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以科技创新不断满足群众文化需求。</w:t>
      </w:r>
      <w:r>
        <w:rPr>
          <w:rFonts w:ascii="Times New Roman" w:hAnsi="Times New Roman" w:cs="Times New Roman"/>
          <w:sz w:val="32"/>
          <w:szCs w:val="32"/>
        </w:rPr>
        <w:t>对文化艺术、广播影视、新闻出版三大传统行业，重点扶持原创，积极鼓励创作能够代表银川、兴庆地域文化特色的作品。加快推动数字化教育出版平台建设，重点发展教育类电子出版物、电子书、手机出版物等以数字化内容、数字化生产和数字化传输为特征的出版</w:t>
      </w:r>
      <w:r>
        <w:rPr>
          <w:rFonts w:hint="eastAsia" w:ascii="仿宋_GB2312" w:hAnsi="Times New Roman" w:cs="Times New Roman"/>
          <w:sz w:val="32"/>
          <w:szCs w:val="32"/>
        </w:rPr>
        <w:t>新业态。全面推进“三网”融合，扩大高清电视用户群体覆盖范</w:t>
      </w:r>
      <w:r>
        <w:rPr>
          <w:rFonts w:ascii="Times New Roman" w:hAnsi="Times New Roman" w:cs="Times New Roman"/>
          <w:sz w:val="32"/>
          <w:szCs w:val="32"/>
        </w:rPr>
        <w:t>围。</w:t>
      </w:r>
    </w:p>
    <w:p w14:paraId="63D54FCB">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提高文化科技水平和自主创新能力。</w:t>
      </w:r>
      <w:r>
        <w:rPr>
          <w:rFonts w:ascii="Times New Roman" w:hAnsi="Times New Roman" w:cs="Times New Roman"/>
          <w:sz w:val="32"/>
          <w:szCs w:val="32"/>
        </w:rPr>
        <w:t>重点加快设计服务及电子竞技等新兴行业发展，激发中小微企业、设计工作室和个人设计师的创意活力，支持中小微设计企业做专做精。鼓励有条件的龙头骨干企业在兴庆区建立设计创新中心，对符合条件的中心予以认定，引导社会资金加大投入。</w:t>
      </w:r>
    </w:p>
    <w:p w14:paraId="0DD97800">
      <w:pPr>
        <w:spacing w:after="156" w:afterLines="50" w:line="610" w:lineRule="exact"/>
        <w:ind w:firstLine="643"/>
        <w:rPr>
          <w:rFonts w:ascii="Times New Roman" w:hAnsi="Times New Roman" w:cs="Times New Roman"/>
          <w:b/>
          <w:sz w:val="32"/>
          <w:szCs w:val="32"/>
        </w:rPr>
      </w:pPr>
      <w:r>
        <w:rPr>
          <w:rFonts w:ascii="Times New Roman" w:hAnsi="Times New Roman" w:cs="Times New Roman"/>
          <w:b/>
          <w:sz w:val="32"/>
          <w:szCs w:val="32"/>
        </w:rPr>
        <w:t>打造科技文化融合基地。</w:t>
      </w:r>
      <w:r>
        <w:rPr>
          <w:rFonts w:ascii="Times New Roman" w:hAnsi="Times New Roman" w:cs="Times New Roman"/>
          <w:sz w:val="32"/>
          <w:szCs w:val="32"/>
        </w:rPr>
        <w:t>依托</w:t>
      </w:r>
      <w:r>
        <w:rPr>
          <w:rFonts w:hint="eastAsia" w:ascii="Times New Roman" w:hAnsi="Times New Roman" w:cs="Times New Roman"/>
          <w:sz w:val="32"/>
          <w:szCs w:val="32"/>
          <w:lang w:eastAsia="zh-CN"/>
        </w:rPr>
        <w:t>银川</w:t>
      </w:r>
      <w:r>
        <w:rPr>
          <w:rFonts w:ascii="Times New Roman" w:hAnsi="Times New Roman" w:cs="Times New Roman"/>
          <w:sz w:val="32"/>
          <w:szCs w:val="32"/>
        </w:rPr>
        <w:t>国际商贸城积极打造电子竞技产品展示销售综合体，举办相关赛事，争取兴庆区成为国际电子竞技赛事永久举办地。以高科技文化未来世界城建设为契机，依托高新技术增强文化产品的表现力、感染力、传播力，推动文化与科技、视听新媒体等结合，强化文化对科技手段的内容支撑、创意和设计提升，促进文化与科技双向深度融合，促进动漫产业发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5F10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62D3F207">
            <w:pPr>
              <w:pStyle w:val="4"/>
              <w:spacing w:line="240" w:lineRule="auto"/>
              <w:ind w:firstLine="0" w:firstLineChars="0"/>
              <w:jc w:val="center"/>
              <w:rPr>
                <w:rFonts w:hint="eastAsia" w:ascii="仿宋_GB2312" w:hAnsi="Times New Roman" w:eastAsia="仿宋_GB2312" w:cs="Times New Roman"/>
                <w:b/>
                <w:sz w:val="24"/>
                <w:szCs w:val="24"/>
              </w:rPr>
            </w:pPr>
            <w:bookmarkStart w:id="97" w:name="_Toc441134511"/>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10</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文化创意产业发展重点及重大项目</w:t>
            </w:r>
            <w:bookmarkEnd w:id="97"/>
          </w:p>
        </w:tc>
      </w:tr>
      <w:tr w14:paraId="4EDF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4" w:hRule="atLeast"/>
          <w:jc w:val="center"/>
        </w:trPr>
        <w:tc>
          <w:tcPr>
            <w:tcW w:w="8732" w:type="dxa"/>
            <w:noWrap w:val="0"/>
            <w:vAlign w:val="center"/>
          </w:tcPr>
          <w:p w14:paraId="2E2F0416">
            <w:pPr>
              <w:spacing w:line="240" w:lineRule="auto"/>
              <w:ind w:firstLine="480"/>
              <w:rPr>
                <w:rFonts w:ascii="Times New Roman" w:hAnsi="Times New Roman" w:cs="Times New Roman"/>
                <w:sz w:val="24"/>
                <w:szCs w:val="24"/>
              </w:rPr>
            </w:pPr>
            <w:r>
              <w:rPr>
                <w:rFonts w:ascii="Times New Roman" w:hAnsi="Times New Roman" w:cs="Times New Roman"/>
                <w:sz w:val="24"/>
                <w:szCs w:val="24"/>
              </w:rPr>
              <w:t>（1）高科技文化未来世界城：美国魔幻公司投资建设，计划投资</w:t>
            </w:r>
            <w:r>
              <w:rPr>
                <w:rFonts w:hint="eastAsia" w:ascii="Times New Roman" w:hAnsi="Times New Roman" w:cs="Times New Roman"/>
                <w:sz w:val="24"/>
                <w:szCs w:val="24"/>
              </w:rPr>
              <w:t>50</w:t>
            </w:r>
            <w:r>
              <w:rPr>
                <w:rFonts w:ascii="Times New Roman" w:hAnsi="Times New Roman" w:cs="Times New Roman"/>
                <w:sz w:val="24"/>
                <w:szCs w:val="24"/>
              </w:rPr>
              <w:t>亿元总建筑面积301100平米；科技场馆建设工程包括中国馆、未来科技馆、地球馆、生命馆、太空馆、极限体育体验馆，建筑面积185000平米；数字媒体学校及国际学校总建筑面积176839平米。</w:t>
            </w:r>
          </w:p>
          <w:p w14:paraId="30457C02">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（2）创意设计产业中心：建设服务于创意设计人才的创业、办公、生产、交流基地，打造创意设计产业孵化平台、商业服务平台、品牌服务平台。</w:t>
            </w:r>
          </w:p>
        </w:tc>
      </w:tr>
    </w:tbl>
    <w:p w14:paraId="7E41E416">
      <w:pPr>
        <w:pStyle w:val="3"/>
        <w:spacing w:before="312" w:beforeLines="100" w:after="156" w:afterLines="50" w:line="520" w:lineRule="exact"/>
        <w:ind w:firstLine="0" w:firstLineChars="0"/>
        <w:jc w:val="center"/>
        <w:rPr>
          <w:rFonts w:ascii="黑体" w:hAnsi="Times New Roman" w:eastAsia="黑体" w:cs="Times New Roman"/>
          <w:b w:val="0"/>
        </w:rPr>
      </w:pPr>
      <w:bookmarkStart w:id="98" w:name="_Toc439358320"/>
      <w:r>
        <w:rPr>
          <w:rFonts w:ascii="黑体" w:hAnsi="Times New Roman" w:eastAsia="黑体" w:cs="Times New Roman"/>
          <w:b w:val="0"/>
        </w:rPr>
        <w:t>第七节  推动发展电子商务产业</w:t>
      </w:r>
      <w:bookmarkEnd w:id="98"/>
    </w:p>
    <w:p w14:paraId="0DE00643">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大力发展农村电商。</w:t>
      </w:r>
      <w:r>
        <w:rPr>
          <w:rFonts w:ascii="Times New Roman" w:hAnsi="Times New Roman" w:cs="Times New Roman"/>
          <w:sz w:val="32"/>
          <w:szCs w:val="32"/>
        </w:rPr>
        <w:t>加强对农民的电子商务知识培训，通过指导生产、注册认证、技术支持、信息咨询、产业孵化等一系列配套服务，帮助农民进入电子商务销售市场。加快农产品标准化体系建设，为高质量农产品通过电商平台进入流通领域奠定基础。加强农产品流通体系顶层设计和规划，加强专业仓储、农产品冷链建设，对相关企业的融资、用电给予适当优惠。加强网络监管，落实质量安全主体责任，加快建立完善风险监测、网上抽查、农产品溯源等电子商务产品质量监管机制，推行电子商务规范认证制度。积极破解农村</w:t>
      </w:r>
      <w:r>
        <w:rPr>
          <w:rFonts w:hint="eastAsia" w:ascii="仿宋_GB2312" w:hAnsi="Times New Roman" w:cs="Times New Roman"/>
          <w:sz w:val="32"/>
          <w:szCs w:val="32"/>
        </w:rPr>
        <w:t>物流“最后一公里”问</w:t>
      </w:r>
      <w:r>
        <w:rPr>
          <w:rFonts w:ascii="Times New Roman" w:hAnsi="Times New Roman" w:cs="Times New Roman"/>
          <w:sz w:val="32"/>
          <w:szCs w:val="32"/>
        </w:rPr>
        <w:t>题。</w:t>
      </w:r>
    </w:p>
    <w:p w14:paraId="2449F1F2">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着力推进跨境电商。</w:t>
      </w:r>
      <w:r>
        <w:rPr>
          <w:rFonts w:ascii="Times New Roman" w:hAnsi="Times New Roman" w:cs="Times New Roman"/>
          <w:sz w:val="32"/>
          <w:szCs w:val="32"/>
        </w:rPr>
        <w:t>与综保区共同制定促进跨境贸易电子商务通关服务的相关配套管理制度和标准规范，共建安全监管和溯源机制，完善跨境电商安全认证体系和信用体系，建设宁夏特色产品展示展销中心，推动兴庆区特色农产品出口。与淘宝网、第三方电子商务企业合作，构建特色电子商务平台。引进大型电子商务、进口免税、金融服务、跨境物流等企业入驻，打造公平、开放、具有公信力的跨境电商第三方服务平台与支付平台。</w:t>
      </w:r>
    </w:p>
    <w:p w14:paraId="6299762F">
      <w:pPr>
        <w:pStyle w:val="3"/>
        <w:spacing w:before="312" w:beforeLines="100" w:after="156" w:afterLines="50" w:line="520" w:lineRule="exact"/>
        <w:ind w:firstLine="0" w:firstLineChars="0"/>
        <w:jc w:val="center"/>
        <w:rPr>
          <w:rFonts w:ascii="黑体" w:hAnsi="Times New Roman" w:eastAsia="黑体" w:cs="Times New Roman"/>
          <w:b w:val="0"/>
        </w:rPr>
      </w:pPr>
      <w:bookmarkStart w:id="99" w:name="_Toc439358321"/>
      <w:r>
        <w:rPr>
          <w:rFonts w:ascii="黑体" w:hAnsi="Times New Roman" w:eastAsia="黑体" w:cs="Times New Roman"/>
          <w:b w:val="0"/>
        </w:rPr>
        <w:t>第八节  大力发展现代金融业</w:t>
      </w:r>
      <w:bookmarkEnd w:id="99"/>
    </w:p>
    <w:p w14:paraId="62ADC2EB">
      <w:pPr>
        <w:adjustRightInd w:val="0"/>
        <w:snapToGrid w:val="0"/>
        <w:spacing w:line="610" w:lineRule="exact"/>
        <w:ind w:firstLine="600" w:firstLineChars="0"/>
        <w:rPr>
          <w:rFonts w:ascii="Times New Roman" w:hAnsi="Times New Roman" w:cs="Times New Roman"/>
          <w:sz w:val="32"/>
          <w:szCs w:val="32"/>
        </w:rPr>
      </w:pPr>
      <w:r>
        <w:rPr>
          <w:rFonts w:ascii="Times New Roman" w:hAnsi="Times New Roman" w:cs="Times New Roman"/>
          <w:b/>
          <w:sz w:val="32"/>
          <w:szCs w:val="32"/>
        </w:rPr>
        <w:t>促进金融机构集聚，壮大兴庆金融规模。</w:t>
      </w:r>
      <w:r>
        <w:rPr>
          <w:rFonts w:ascii="Times New Roman" w:hAnsi="Times New Roman" w:cs="Times New Roman"/>
          <w:sz w:val="32"/>
          <w:szCs w:val="32"/>
        </w:rPr>
        <w:t>主动加强与国内外金融机构的联系沟通，广泛邀请各类金融机构、投资机构参与兴庆区重大项目洽谈、银企座谈等各类活动，大量吸引银行、证券、保险、基金、信托、投资等各类金融保险机构来区设立机构、发展业务。</w:t>
      </w:r>
    </w:p>
    <w:p w14:paraId="4D309D67">
      <w:pPr>
        <w:adjustRightInd w:val="0"/>
        <w:snapToGrid w:val="0"/>
        <w:spacing w:line="610" w:lineRule="exact"/>
        <w:ind w:firstLine="600" w:firstLineChars="0"/>
        <w:rPr>
          <w:rFonts w:ascii="Times New Roman" w:hAnsi="Times New Roman" w:cs="Times New Roman"/>
          <w:sz w:val="32"/>
          <w:szCs w:val="32"/>
        </w:rPr>
      </w:pPr>
      <w:r>
        <w:rPr>
          <w:rFonts w:ascii="Times New Roman" w:hAnsi="Times New Roman" w:cs="Times New Roman"/>
          <w:b/>
          <w:sz w:val="32"/>
          <w:szCs w:val="32"/>
        </w:rPr>
        <w:t>加快发展绿色金融，推动产业转型升级。</w:t>
      </w:r>
      <w:r>
        <w:rPr>
          <w:rFonts w:ascii="Times New Roman" w:hAnsi="Times New Roman" w:cs="Times New Roman"/>
          <w:sz w:val="32"/>
          <w:szCs w:val="32"/>
        </w:rPr>
        <w:t>设立绿色引导资金，扶持绿色产业发展。对接宁东及其他企业，通过绿色信贷、绿色债券、绿色保险等手段，引导资金流向节能减排、生态环境保护等产业，帮助传统产业实现清洁生产和结构升级。</w:t>
      </w:r>
    </w:p>
    <w:p w14:paraId="003ADFBB">
      <w:pPr>
        <w:adjustRightInd w:val="0"/>
        <w:snapToGrid w:val="0"/>
        <w:spacing w:line="610" w:lineRule="exact"/>
        <w:ind w:firstLine="601" w:firstLineChars="0"/>
        <w:rPr>
          <w:rFonts w:ascii="Times New Roman" w:hAnsi="Times New Roman" w:cs="Times New Roman"/>
          <w:sz w:val="32"/>
          <w:szCs w:val="32"/>
        </w:rPr>
      </w:pPr>
      <w:r>
        <w:rPr>
          <w:rFonts w:ascii="Times New Roman" w:hAnsi="Times New Roman" w:cs="Times New Roman"/>
          <w:b/>
          <w:sz w:val="32"/>
          <w:szCs w:val="32"/>
        </w:rPr>
        <w:t>加快发展普惠金融，扶持中小微企业发展。</w:t>
      </w:r>
      <w:r>
        <w:rPr>
          <w:rFonts w:ascii="Times New Roman" w:hAnsi="Times New Roman" w:cs="Times New Roman"/>
          <w:sz w:val="32"/>
          <w:szCs w:val="32"/>
        </w:rPr>
        <w:t>加快发展面向小微企业的金融组织，发展互联网金融等新兴业态，优化小微企业金融生态。进一步开放信贷市场，鼓励融资租赁、债券等非信贷融资创新，协助企业申请自治区中小微企业贷款扶持基金，拓宽小企业融资渠道。</w:t>
      </w:r>
    </w:p>
    <w:p w14:paraId="13503F6D">
      <w:pPr>
        <w:adjustRightInd w:val="0"/>
        <w:snapToGrid w:val="0"/>
        <w:spacing w:line="610" w:lineRule="exact"/>
        <w:ind w:firstLine="601" w:firstLineChars="0"/>
        <w:rPr>
          <w:rFonts w:ascii="Times New Roman" w:hAnsi="Times New Roman" w:cs="Times New Roman"/>
          <w:sz w:val="32"/>
          <w:szCs w:val="32"/>
        </w:rPr>
      </w:pPr>
      <w:r>
        <w:rPr>
          <w:rFonts w:ascii="Times New Roman" w:hAnsi="Times New Roman" w:cs="Times New Roman"/>
          <w:b/>
          <w:sz w:val="32"/>
          <w:szCs w:val="32"/>
        </w:rPr>
        <w:t>构建金融服务平台，畅通信息渠道。</w:t>
      </w:r>
      <w:r>
        <w:rPr>
          <w:rFonts w:ascii="Times New Roman" w:hAnsi="Times New Roman" w:cs="Times New Roman"/>
          <w:sz w:val="32"/>
          <w:szCs w:val="32"/>
        </w:rPr>
        <w:t>整合政府及有关部门可开放数据、企业可利用数据，构建由政府引导，金融机构、社会中介机构和企业广泛参与的综合金融服务平台，实现各方的对接、联动与协调。</w:t>
      </w:r>
    </w:p>
    <w:p w14:paraId="5A301DB1">
      <w:pPr>
        <w:spacing w:line="240" w:lineRule="exact"/>
        <w:ind w:firstLine="600"/>
        <w:rPr>
          <w:rFonts w:hint="eastAsia"/>
        </w:rPr>
      </w:pPr>
      <w:r>
        <w:br w:type="page"/>
      </w:r>
      <w:bookmarkStart w:id="100" w:name="_Toc439358322"/>
    </w:p>
    <w:p w14:paraId="66379381">
      <w:pPr>
        <w:pStyle w:val="2"/>
        <w:spacing w:before="156" w:beforeLines="50" w:after="0" w:afterLines="0" w:line="520" w:lineRule="exact"/>
        <w:ind w:firstLine="0" w:firstLineChars="0"/>
        <w:jc w:val="center"/>
        <w:rPr>
          <w:rFonts w:eastAsia="方正小标宋_GBK"/>
          <w:b w:val="0"/>
        </w:rPr>
      </w:pPr>
      <w:r>
        <w:rPr>
          <w:rFonts w:eastAsia="方正小标宋_GBK"/>
          <w:b w:val="0"/>
        </w:rPr>
        <w:t>第五章</w:t>
      </w:r>
      <w:r>
        <w:rPr>
          <w:rFonts w:hint="eastAsia" w:eastAsia="方正小标宋_GBK"/>
          <w:b w:val="0"/>
        </w:rPr>
        <w:t xml:space="preserve"> </w:t>
      </w:r>
      <w:r>
        <w:rPr>
          <w:rFonts w:eastAsia="方正小标宋_GBK"/>
          <w:b w:val="0"/>
        </w:rPr>
        <w:t xml:space="preserve"> 创新驱动，推进一二产业转型升级</w:t>
      </w:r>
      <w:bookmarkEnd w:id="100"/>
    </w:p>
    <w:p w14:paraId="690D8419">
      <w:pPr>
        <w:pStyle w:val="3"/>
        <w:spacing w:before="312" w:beforeLines="100" w:after="156" w:afterLines="50" w:line="520" w:lineRule="exact"/>
        <w:ind w:firstLine="0" w:firstLineChars="0"/>
        <w:jc w:val="center"/>
        <w:rPr>
          <w:rFonts w:ascii="黑体" w:hAnsi="Times New Roman" w:eastAsia="黑体" w:cs="Times New Roman"/>
          <w:b w:val="0"/>
        </w:rPr>
      </w:pPr>
      <w:bookmarkStart w:id="101" w:name="_Toc439358323"/>
      <w:r>
        <w:rPr>
          <w:rFonts w:ascii="黑体" w:hAnsi="Times New Roman" w:eastAsia="黑体" w:cs="Times New Roman"/>
          <w:b w:val="0"/>
        </w:rPr>
        <w:t>第一节  推进创新发展</w:t>
      </w:r>
      <w:bookmarkEnd w:id="101"/>
    </w:p>
    <w:p w14:paraId="0C1FD725">
      <w:pPr>
        <w:adjustRightInd w:val="0"/>
        <w:snapToGrid w:val="0"/>
        <w:spacing w:line="610" w:lineRule="exact"/>
        <w:ind w:firstLine="643"/>
        <w:rPr>
          <w:rFonts w:ascii="Times New Roman" w:hAnsi="Times New Roman" w:cs="Times New Roman"/>
          <w:color w:val="000000"/>
          <w:sz w:val="32"/>
          <w:szCs w:val="32"/>
        </w:rPr>
      </w:pPr>
      <w:r>
        <w:rPr>
          <w:rFonts w:ascii="Times New Roman" w:hAnsi="Times New Roman" w:cs="Times New Roman"/>
          <w:b/>
          <w:sz w:val="32"/>
          <w:szCs w:val="32"/>
        </w:rPr>
        <w:t>加大财政科技投入。</w:t>
      </w:r>
      <w:r>
        <w:rPr>
          <w:rFonts w:ascii="Times New Roman" w:hAnsi="Times New Roman" w:cs="Times New Roman"/>
          <w:sz w:val="32"/>
          <w:szCs w:val="32"/>
        </w:rPr>
        <w:t>健全以财政投入为引导、企业投入为主体的科技投入体系。制定分年度规划，不断加大财政科技投入和科技拨款监督检查力度，确保年度财政科技投入增长幅度高于同级财政经常性收入增长幅度</w:t>
      </w:r>
      <w:r>
        <w:rPr>
          <w:rFonts w:ascii="Times New Roman" w:hAnsi="Times New Roman" w:cs="Times New Roman"/>
          <w:color w:val="000000"/>
          <w:sz w:val="32"/>
          <w:szCs w:val="32"/>
        </w:rPr>
        <w:t>3个百分点以上，人均科普经费达到2元，每年递增10%以上。建立公共研发、科技信息、检测检验、孵育孵化四大平台体系，力争至2020年，R&amp;D投入强度达1.5%，专利授权量累计达300件，万人有效发明专利拥有量达2.5件，各类科技创新创业服务机构达150家。</w:t>
      </w:r>
    </w:p>
    <w:p w14:paraId="76D55238">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完善科技创新扶持体系。</w:t>
      </w:r>
      <w:r>
        <w:rPr>
          <w:rFonts w:ascii="Times New Roman" w:hAnsi="Times New Roman" w:cs="Times New Roman"/>
          <w:sz w:val="32"/>
          <w:szCs w:val="32"/>
        </w:rPr>
        <w:t>加大知识产权保护。制定专项实施方案，加强专项执法与部门间协作，建立跨区域的知识产权保护机制，有效提升全社会保护知识产权的意识和能力。完善科研机构评价体系，完善和执行企业技术研发费用扣除、高新技术企业所得税、增值税优惠等创新支持政策。</w:t>
      </w:r>
    </w:p>
    <w:p w14:paraId="10BDDAF2">
      <w:pPr>
        <w:adjustRightInd w:val="0"/>
        <w:snapToGrid w:val="0"/>
        <w:spacing w:line="610" w:lineRule="exact"/>
        <w:ind w:firstLine="643"/>
        <w:rPr>
          <w:rFonts w:hint="eastAsia" w:ascii="Times New Roman" w:hAnsi="Times New Roman" w:cs="Times New Roman"/>
          <w:sz w:val="32"/>
          <w:szCs w:val="32"/>
        </w:rPr>
      </w:pPr>
      <w:r>
        <w:rPr>
          <w:rFonts w:ascii="Times New Roman" w:hAnsi="Times New Roman" w:cs="Times New Roman"/>
          <w:b/>
          <w:sz w:val="32"/>
          <w:szCs w:val="32"/>
        </w:rPr>
        <w:t>优化科技合作环境。</w:t>
      </w:r>
      <w:r>
        <w:rPr>
          <w:rFonts w:ascii="Times New Roman" w:hAnsi="Times New Roman" w:cs="Times New Roman"/>
          <w:sz w:val="32"/>
          <w:szCs w:val="32"/>
        </w:rPr>
        <w:t>鼓励宁夏大学、社科院以及</w:t>
      </w:r>
      <w:r>
        <w:rPr>
          <w:rFonts w:hint="eastAsia" w:ascii="Times New Roman" w:hAnsi="Times New Roman" w:cs="Times New Roman"/>
          <w:sz w:val="32"/>
          <w:szCs w:val="32"/>
          <w:lang w:eastAsia="zh-CN"/>
        </w:rPr>
        <w:t>国内外各类科研院所</w:t>
      </w:r>
      <w:r>
        <w:rPr>
          <w:rFonts w:ascii="Times New Roman" w:hAnsi="Times New Roman" w:cs="Times New Roman"/>
          <w:sz w:val="32"/>
          <w:szCs w:val="32"/>
        </w:rPr>
        <w:t>在兴庆区建立联合实验室或研究开发中心。鼓励企事业单位科研人员或科研机构参与或牵头组织国际和区域性科技交流活动。建立培训制度，提高科技人员参与国际科技交流的能力。</w:t>
      </w:r>
    </w:p>
    <w:p w14:paraId="37DB8304">
      <w:pPr>
        <w:adjustRightInd w:val="0"/>
        <w:snapToGrid w:val="0"/>
        <w:spacing w:line="240" w:lineRule="exact"/>
        <w:ind w:firstLine="640"/>
        <w:rPr>
          <w:rFonts w:hint="eastAsia" w:ascii="Times New Roman" w:hAnsi="Times New Roman" w:cs="Times New Roman"/>
          <w:sz w:val="32"/>
          <w:szCs w:val="32"/>
        </w:rPr>
      </w:pPr>
    </w:p>
    <w:p w14:paraId="3831AF68">
      <w:pPr>
        <w:pStyle w:val="3"/>
        <w:spacing w:before="156" w:beforeLines="50" w:after="156" w:afterLines="50" w:line="520" w:lineRule="exact"/>
        <w:ind w:firstLine="0" w:firstLineChars="0"/>
        <w:jc w:val="center"/>
        <w:rPr>
          <w:rFonts w:ascii="黑体" w:hAnsi="Times New Roman" w:eastAsia="黑体" w:cs="Times New Roman"/>
          <w:b w:val="0"/>
        </w:rPr>
      </w:pPr>
      <w:bookmarkStart w:id="102" w:name="_Toc439358324"/>
      <w:r>
        <w:rPr>
          <w:rFonts w:ascii="黑体" w:hAnsi="Times New Roman" w:eastAsia="黑体" w:cs="Times New Roman"/>
          <w:b w:val="0"/>
        </w:rPr>
        <w:t>第二节  加快农业现代</w:t>
      </w:r>
      <w:bookmarkEnd w:id="102"/>
      <w:r>
        <w:rPr>
          <w:rFonts w:ascii="黑体" w:hAnsi="Times New Roman" w:eastAsia="黑体" w:cs="Times New Roman"/>
          <w:b w:val="0"/>
        </w:rPr>
        <w:t>化</w:t>
      </w:r>
    </w:p>
    <w:bookmarkEnd w:id="96"/>
    <w:p w14:paraId="57856FB5">
      <w:pPr>
        <w:spacing w:line="610" w:lineRule="exact"/>
        <w:ind w:firstLine="640"/>
        <w:rPr>
          <w:rFonts w:ascii="Times New Roman" w:hAnsi="Times New Roman" w:cs="Times New Roman"/>
          <w:bCs/>
          <w:snapToGrid w:val="0"/>
          <w:kern w:val="0"/>
          <w:sz w:val="32"/>
          <w:szCs w:val="32"/>
          <w:u w:val="none" w:color="008000"/>
          <w:lang w:val="zh-TW"/>
        </w:rPr>
      </w:pPr>
      <w:bookmarkStart w:id="103" w:name="_Toc438133210"/>
      <w:bookmarkStart w:id="104" w:name="_Toc437344115"/>
      <w:r>
        <w:rPr>
          <w:rFonts w:ascii="Times New Roman" w:hAnsi="Times New Roman" w:cs="Times New Roman"/>
          <w:bCs/>
          <w:snapToGrid w:val="0"/>
          <w:kern w:val="0"/>
          <w:sz w:val="32"/>
          <w:szCs w:val="32"/>
          <w:u w:val="none" w:color="008000"/>
          <w:lang w:val="zh-TW" w:eastAsia="zh-TW"/>
        </w:rPr>
        <w:t>以</w:t>
      </w:r>
      <w:r>
        <w:rPr>
          <w:rFonts w:ascii="Times New Roman" w:hAnsi="Times New Roman" w:cs="Times New Roman"/>
          <w:bCs/>
          <w:snapToGrid w:val="0"/>
          <w:kern w:val="0"/>
          <w:sz w:val="32"/>
          <w:szCs w:val="32"/>
          <w:u w:val="none" w:color="008000"/>
          <w:lang w:val="zh-TW"/>
        </w:rPr>
        <w:t>农业产业化</w:t>
      </w:r>
      <w:r>
        <w:rPr>
          <w:rFonts w:ascii="Times New Roman" w:hAnsi="Times New Roman" w:cs="Times New Roman"/>
          <w:bCs/>
          <w:snapToGrid w:val="0"/>
          <w:kern w:val="0"/>
          <w:sz w:val="32"/>
          <w:szCs w:val="32"/>
          <w:u w:val="none" w:color="008000"/>
          <w:lang w:val="zh-TW" w:eastAsia="zh-TW"/>
        </w:rPr>
        <w:t>为核心</w:t>
      </w:r>
      <w:r>
        <w:rPr>
          <w:rFonts w:ascii="Times New Roman" w:hAnsi="Times New Roman" w:cs="Times New Roman"/>
          <w:bCs/>
          <w:snapToGrid w:val="0"/>
          <w:kern w:val="0"/>
          <w:sz w:val="32"/>
          <w:szCs w:val="32"/>
          <w:u w:val="none" w:color="008000"/>
          <w:lang w:val="zh-TW"/>
        </w:rPr>
        <w:t>，加强农业科技创新，健全农业服务体系，促进农业集约化发展，</w:t>
      </w:r>
      <w:r>
        <w:rPr>
          <w:rFonts w:ascii="Times New Roman" w:hAnsi="Times New Roman" w:cs="Times New Roman"/>
          <w:bCs/>
          <w:snapToGrid w:val="0"/>
          <w:kern w:val="0"/>
          <w:sz w:val="32"/>
          <w:szCs w:val="32"/>
          <w:u w:val="none" w:color="008000"/>
          <w:lang w:val="zh-TW" w:eastAsia="zh-TW"/>
        </w:rPr>
        <w:t>做</w:t>
      </w:r>
      <w:r>
        <w:rPr>
          <w:rFonts w:ascii="Times New Roman" w:hAnsi="Times New Roman" w:cs="Times New Roman"/>
          <w:bCs/>
          <w:snapToGrid w:val="0"/>
          <w:kern w:val="0"/>
          <w:sz w:val="32"/>
          <w:szCs w:val="32"/>
          <w:u w:val="none" w:color="008000"/>
          <w:lang w:val="zh-TW"/>
        </w:rPr>
        <w:t>精做强花卉</w:t>
      </w:r>
      <w:r>
        <w:rPr>
          <w:rFonts w:ascii="Times New Roman" w:hAnsi="Times New Roman" w:cs="Times New Roman"/>
          <w:bCs/>
          <w:snapToGrid w:val="0"/>
          <w:kern w:val="0"/>
          <w:sz w:val="32"/>
          <w:szCs w:val="32"/>
          <w:u w:val="none" w:color="008000"/>
          <w:lang w:val="zh-TW" w:eastAsia="zh-TW"/>
        </w:rPr>
        <w:t>、奶畜、瓜菜</w:t>
      </w:r>
      <w:r>
        <w:rPr>
          <w:rFonts w:ascii="Times New Roman" w:hAnsi="Times New Roman" w:cs="Times New Roman"/>
          <w:bCs/>
          <w:snapToGrid w:val="0"/>
          <w:kern w:val="0"/>
          <w:sz w:val="32"/>
          <w:szCs w:val="32"/>
          <w:u w:val="none" w:color="008000"/>
          <w:lang w:val="zh-TW"/>
        </w:rPr>
        <w:t>等优势</w:t>
      </w:r>
      <w:r>
        <w:rPr>
          <w:rFonts w:ascii="Times New Roman" w:hAnsi="Times New Roman" w:cs="Times New Roman"/>
          <w:bCs/>
          <w:snapToGrid w:val="0"/>
          <w:kern w:val="0"/>
          <w:sz w:val="32"/>
          <w:szCs w:val="32"/>
          <w:u w:val="none" w:color="008000"/>
          <w:lang w:val="zh-TW" w:eastAsia="zh-TW"/>
        </w:rPr>
        <w:t>产业</w:t>
      </w:r>
      <w:r>
        <w:rPr>
          <w:rFonts w:ascii="Times New Roman" w:hAnsi="Times New Roman" w:cs="Times New Roman"/>
          <w:bCs/>
          <w:snapToGrid w:val="0"/>
          <w:kern w:val="0"/>
          <w:sz w:val="32"/>
          <w:szCs w:val="32"/>
          <w:u w:val="none" w:color="008000"/>
          <w:lang w:val="zh-TW"/>
        </w:rPr>
        <w:t>，提升都市农业品质，加快农业现代化。</w:t>
      </w:r>
    </w:p>
    <w:p w14:paraId="626D317F">
      <w:pPr>
        <w:spacing w:line="610" w:lineRule="exact"/>
        <w:ind w:firstLine="602" w:firstLineChars="0"/>
        <w:rPr>
          <w:rFonts w:ascii="Times New Roman" w:hAnsi="Times New Roman" w:cs="Times New Roman"/>
          <w:b/>
          <w:sz w:val="32"/>
          <w:szCs w:val="32"/>
        </w:rPr>
      </w:pPr>
      <w:r>
        <w:rPr>
          <w:rFonts w:ascii="Times New Roman" w:hAnsi="Times New Roman" w:cs="Times New Roman"/>
          <w:b/>
          <w:sz w:val="32"/>
          <w:szCs w:val="32"/>
        </w:rPr>
        <w:t>1、构建现代农业新格局</w:t>
      </w:r>
    </w:p>
    <w:p w14:paraId="0768C9BB">
      <w:pPr>
        <w:spacing w:line="610" w:lineRule="exact"/>
        <w:ind w:firstLine="602" w:firstLineChars="0"/>
        <w:rPr>
          <w:rFonts w:ascii="Times New Roman" w:hAnsi="Times New Roman" w:cs="Times New Roman"/>
          <w:sz w:val="32"/>
          <w:szCs w:val="32"/>
        </w:rPr>
      </w:pPr>
      <w:r>
        <w:rPr>
          <w:rFonts w:ascii="Times New Roman" w:hAnsi="Times New Roman" w:cs="Times New Roman"/>
          <w:b/>
          <w:sz w:val="32"/>
          <w:szCs w:val="32"/>
        </w:rPr>
        <w:t>打造花卉产业示范区</w:t>
      </w:r>
      <w:r>
        <w:rPr>
          <w:rFonts w:hint="eastAsia" w:ascii="仿宋_GB2312" w:hAnsi="Times New Roman" w:cs="Times New Roman"/>
          <w:b/>
          <w:sz w:val="32"/>
          <w:szCs w:val="32"/>
        </w:rPr>
        <w:t>。</w:t>
      </w:r>
      <w:r>
        <w:rPr>
          <w:rFonts w:hint="eastAsia" w:ascii="仿宋_GB2312" w:hAnsi="Times New Roman" w:cs="Times New Roman"/>
          <w:sz w:val="32"/>
          <w:szCs w:val="32"/>
        </w:rPr>
        <w:t>实施“科技兴花”战略，加大科技投入，大力推广新技术，完善配套设施，提高花卉品质，丰富花卉品种。做精“兴庆康乃馨”品牌，大力发展香水百合，扶持引导搭建互联网平台，拓宽花卉流通渠道，提升“兴庆花卉”品牌知名度。开发“花卉+旅游”的跨界模式，拉长产业链，打造新的经济增长点，为</w:t>
      </w:r>
      <w:r>
        <w:rPr>
          <w:rFonts w:ascii="Times New Roman" w:hAnsi="Times New Roman" w:cs="Times New Roman"/>
          <w:sz w:val="32"/>
          <w:szCs w:val="32"/>
        </w:rPr>
        <w:t>2017年第九届花博会在银川举办奠定基础。</w:t>
      </w:r>
    </w:p>
    <w:p w14:paraId="4DDCADF8">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打造现代都市农业示范区。</w:t>
      </w:r>
      <w:r>
        <w:rPr>
          <w:rFonts w:ascii="Times New Roman" w:hAnsi="Times New Roman" w:cs="Times New Roman"/>
          <w:sz w:val="32"/>
          <w:szCs w:val="32"/>
        </w:rPr>
        <w:t>发挥兴庆区特有的人文历史旅游景观，完善掌政镇农业示范区、黄河两岸农业观光带、银横路北京路都市旅游区、孔司路休闲农业旅游专线的道路、水系和绿化，依托设施农业、花卉园艺、适水产业，扶持发展果蔬采摘、花卉鉴赏、农耕文化、科普示范等特色休闲农业旅游项目，全力推进休闲农业、创意农业的发展，用三年时间把兴庆区打造成现代都市休闲农业示范区。</w:t>
      </w:r>
    </w:p>
    <w:p w14:paraId="0B797AD2">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打造现代奶畜产业示范区。</w:t>
      </w:r>
      <w:r>
        <w:rPr>
          <w:rFonts w:ascii="Times New Roman" w:hAnsi="Times New Roman" w:cs="Times New Roman"/>
          <w:sz w:val="32"/>
          <w:szCs w:val="32"/>
        </w:rPr>
        <w:t>扩大万亩奶牛生态养殖园区生产规模，打造年产优质鲜奶8万吨的奶源基地，建设奶畜产品加工贸易园区和交易市场，完善冷链物流配送网络，构建从饲料生产到养殖、屠宰、牛奶和肉制品加工、冷链物流配送、终端销售的产业链体系。</w:t>
      </w:r>
    </w:p>
    <w:p w14:paraId="7E9E7148">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打造惠农渠以西现代设施农业示范区。</w:t>
      </w:r>
      <w:r>
        <w:rPr>
          <w:rFonts w:ascii="Times New Roman" w:hAnsi="Times New Roman" w:cs="Times New Roman"/>
          <w:bCs/>
          <w:sz w:val="32"/>
          <w:szCs w:val="32"/>
        </w:rPr>
        <w:t>提高瓜菜生产规模化水平</w:t>
      </w:r>
      <w:r>
        <w:rPr>
          <w:rFonts w:ascii="Times New Roman" w:hAnsi="Times New Roman" w:cs="Times New Roman"/>
          <w:sz w:val="32"/>
          <w:szCs w:val="32"/>
        </w:rPr>
        <w:t>，引进、培育瓜果蔬菜新品种</w:t>
      </w:r>
      <w:r>
        <w:rPr>
          <w:rFonts w:ascii="Times New Roman" w:hAnsi="Times New Roman" w:cs="Times New Roman"/>
          <w:bCs/>
          <w:sz w:val="32"/>
          <w:szCs w:val="32"/>
        </w:rPr>
        <w:t>，</w:t>
      </w:r>
      <w:r>
        <w:rPr>
          <w:rFonts w:ascii="Times New Roman" w:hAnsi="Times New Roman" w:cs="Times New Roman"/>
          <w:sz w:val="32"/>
          <w:szCs w:val="32"/>
        </w:rPr>
        <w:t>搭建互联网信息平台，</w:t>
      </w:r>
      <w:r>
        <w:rPr>
          <w:rFonts w:ascii="Times New Roman" w:hAnsi="Times New Roman" w:cs="Times New Roman"/>
          <w:bCs/>
          <w:sz w:val="32"/>
          <w:szCs w:val="32"/>
        </w:rPr>
        <w:t>把兴庆区蔬菜育苗中心建设成为宁夏育苗规模最大、设施最完善、技术最先进的一流育苗中心</w:t>
      </w:r>
      <w:r>
        <w:rPr>
          <w:rFonts w:ascii="Times New Roman" w:hAnsi="Times New Roman" w:cs="Times New Roman"/>
          <w:sz w:val="32"/>
          <w:szCs w:val="32"/>
        </w:rPr>
        <w:t>和瓜菜新品种展示中心。</w:t>
      </w:r>
    </w:p>
    <w:p w14:paraId="21A1D351">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打造适水产业示范区</w:t>
      </w:r>
      <w:r>
        <w:rPr>
          <w:rFonts w:ascii="Times New Roman" w:hAnsi="Times New Roman" w:cs="Times New Roman"/>
          <w:b/>
          <w:bCs/>
          <w:sz w:val="32"/>
          <w:szCs w:val="32"/>
        </w:rPr>
        <w:t>。</w:t>
      </w:r>
      <w:r>
        <w:rPr>
          <w:rFonts w:ascii="Times New Roman" w:hAnsi="Times New Roman" w:cs="Times New Roman"/>
          <w:sz w:val="32"/>
          <w:szCs w:val="32"/>
        </w:rPr>
        <w:t>优化布局，调整养殖结构，扩大南美白对虾等名优水产品养殖规模，建设黄河金岸生态渔业高效养殖示范区。</w:t>
      </w:r>
    </w:p>
    <w:p w14:paraId="421890BB">
      <w:pPr>
        <w:spacing w:line="610" w:lineRule="exact"/>
        <w:ind w:firstLine="643"/>
        <w:rPr>
          <w:rFonts w:ascii="Times New Roman" w:hAnsi="Times New Roman" w:cs="Times New Roman"/>
          <w:bCs/>
          <w:sz w:val="32"/>
          <w:szCs w:val="32"/>
        </w:rPr>
      </w:pPr>
      <w:r>
        <w:rPr>
          <w:rFonts w:ascii="Times New Roman" w:hAnsi="Times New Roman" w:cs="Times New Roman"/>
          <w:b/>
          <w:sz w:val="32"/>
          <w:szCs w:val="32"/>
        </w:rPr>
        <w:t>打造优质稻产业带。</w:t>
      </w:r>
      <w:r>
        <w:rPr>
          <w:rFonts w:ascii="Times New Roman" w:hAnsi="Times New Roman" w:cs="Times New Roman"/>
          <w:bCs/>
          <w:sz w:val="32"/>
          <w:szCs w:val="32"/>
        </w:rPr>
        <w:t>以黄河两岸为重点，打造优质稻产业带，优质稻良种率达到100%，有机稻认证面积达到2万亩，在掌政镇、通贵乡建设15栋水稻工厂化育秧大棚，对通贵乡和掌政镇银通路两侧常年稻田实现稻旱轮作2万亩。</w:t>
      </w:r>
    </w:p>
    <w:p w14:paraId="091A2FBC">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2、促进农业集约化发展</w:t>
      </w:r>
    </w:p>
    <w:p w14:paraId="461096BD">
      <w:pPr>
        <w:spacing w:line="610" w:lineRule="exact"/>
        <w:ind w:firstLine="640"/>
        <w:rPr>
          <w:rFonts w:hint="eastAsia" w:ascii="仿宋_GB2312" w:hAnsi="Times New Roman" w:cs="Times New Roman"/>
          <w:b/>
          <w:sz w:val="32"/>
          <w:szCs w:val="32"/>
        </w:rPr>
      </w:pPr>
      <w:r>
        <w:rPr>
          <w:rFonts w:hint="eastAsia" w:ascii="仿宋_GB2312" w:hAnsi="Times New Roman" w:cs="Times New Roman"/>
          <w:sz w:val="32"/>
          <w:szCs w:val="32"/>
        </w:rPr>
        <w:t>围绕龙头企业，加强与国内外领先企业合作交流，发展“公司＋基地＋农户”模式。建立以家庭农场、农业合作社、龙头企业为主的农业经营模式，提高农业综合生产效益，实现农业规模化经营、农村集体经济发展壮大和农民增收的“三赢”格局。鼓励农民以转包、出租、互换、转让、股份合作等形式流转土地承包经营权，盘活土地资源。</w:t>
      </w:r>
    </w:p>
    <w:p w14:paraId="2B110A6E">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3、加强农业科技创新</w:t>
      </w:r>
    </w:p>
    <w:p w14:paraId="3C152EE4">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加大农业科技创新投入力度。</w:t>
      </w:r>
      <w:r>
        <w:rPr>
          <w:rFonts w:ascii="Times New Roman" w:hAnsi="Times New Roman" w:cs="Times New Roman"/>
          <w:sz w:val="32"/>
          <w:szCs w:val="32"/>
        </w:rPr>
        <w:t>设立农业科技创新专项资金，用于农业技术创新和农业技术专家引进。加快现代农业科技创新体系建设，搭建融政务、商务、科技服务于一体的兴庆区农经信息平台，设立三农服务热线，促进农业科技信息资源共享。支持鼓励科技特派员、农业龙头企业、农民专业合作社、农村专业技术协会和家庭农场等农业经营主体开展技术创新。</w:t>
      </w:r>
    </w:p>
    <w:p w14:paraId="1BE0F460">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加强农业科技合作交流。</w:t>
      </w:r>
      <w:r>
        <w:rPr>
          <w:rFonts w:ascii="Times New Roman" w:hAnsi="Times New Roman" w:cs="Times New Roman"/>
          <w:sz w:val="32"/>
          <w:szCs w:val="32"/>
        </w:rPr>
        <w:t>坚持引进花卉苗木、奶畜养殖、适水产业等专家，开展技术服务和培训。加大与中科院、农科院、宁夏大学等科研院所合作，建设农业教学科研培训基地，加强农民科技培训，推广新技术、引进新品种，提高农业发展水平。</w:t>
      </w:r>
    </w:p>
    <w:p w14:paraId="5B9FD6A8">
      <w:pPr>
        <w:spacing w:line="610" w:lineRule="exact"/>
        <w:ind w:firstLine="643"/>
        <w:rPr>
          <w:rFonts w:ascii="Times New Roman" w:hAnsi="Times New Roman" w:cs="Times New Roman"/>
          <w:kern w:val="0"/>
          <w:sz w:val="32"/>
          <w:szCs w:val="32"/>
        </w:rPr>
      </w:pPr>
      <w:r>
        <w:rPr>
          <w:rFonts w:ascii="Times New Roman" w:hAnsi="Times New Roman" w:cs="Times New Roman"/>
          <w:b/>
          <w:sz w:val="32"/>
          <w:szCs w:val="32"/>
        </w:rPr>
        <w:t>推进农业信息化建设。</w:t>
      </w:r>
      <w:r>
        <w:rPr>
          <w:rFonts w:ascii="Times New Roman" w:hAnsi="Times New Roman" w:cs="Times New Roman"/>
          <w:kern w:val="0"/>
          <w:sz w:val="32"/>
          <w:szCs w:val="32"/>
        </w:rPr>
        <w:t>完善农村信息网络基础设施，联合</w:t>
      </w:r>
      <w:r>
        <w:rPr>
          <w:rFonts w:hint="eastAsia" w:ascii="仿宋_GB2312" w:hAnsi="Times New Roman" w:cs="Times New Roman"/>
          <w:kern w:val="0"/>
          <w:sz w:val="32"/>
          <w:szCs w:val="32"/>
        </w:rPr>
        <w:t>互联网企业共建农业信息平台，培养农民“互联网+农业”观念，</w:t>
      </w:r>
      <w:r>
        <w:rPr>
          <w:rFonts w:ascii="Times New Roman" w:hAnsi="Times New Roman" w:cs="Times New Roman"/>
          <w:kern w:val="0"/>
          <w:sz w:val="32"/>
          <w:szCs w:val="32"/>
        </w:rPr>
        <w:t>鼓励农民通过互联网和移动互联终端获取生产生活信息服务。选取一批农业示范基地和园区，开展农业大数据和物联网应用试点，建立农业生产全程监测管理系统，促进农业智能化、精准化生产。</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23E8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32" w:type="dxa"/>
            <w:noWrap w:val="0"/>
            <w:vAlign w:val="center"/>
          </w:tcPr>
          <w:p w14:paraId="7003D6B9">
            <w:pPr>
              <w:pStyle w:val="4"/>
              <w:spacing w:line="240" w:lineRule="auto"/>
              <w:ind w:firstLine="0" w:firstLineChars="0"/>
              <w:jc w:val="center"/>
              <w:rPr>
                <w:rFonts w:hint="eastAsia" w:ascii="仿宋_GB2312" w:hAnsi="Times New Roman" w:eastAsia="仿宋_GB2312" w:cs="Times New Roman"/>
                <w:b/>
                <w:sz w:val="24"/>
                <w:szCs w:val="24"/>
              </w:rPr>
            </w:pPr>
            <w:bookmarkStart w:id="105" w:name="_Toc441134512"/>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11</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农业发展重点及重大项目</w:t>
            </w:r>
            <w:bookmarkEnd w:id="105"/>
          </w:p>
        </w:tc>
      </w:tr>
      <w:tr w14:paraId="1710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767FD38B">
            <w:pPr>
              <w:spacing w:line="240" w:lineRule="auto"/>
              <w:ind w:firstLine="48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pacing w:val="-4"/>
                <w:sz w:val="24"/>
                <w:szCs w:val="24"/>
              </w:rPr>
              <w:t>兴庆区水稻高产优质项目。高产创建项目规划总面积2万亩，在核心示范区全面推广水稻增产增效关键技术；推广精量穴播水稻，增加产量，节约成本；推广秸秆生物反应堆技术，消化秸秆、改良土壤</w:t>
            </w:r>
            <w:r>
              <w:rPr>
                <w:rFonts w:ascii="Times New Roman" w:hAnsi="Times New Roman" w:cs="Times New Roman"/>
                <w:sz w:val="24"/>
                <w:szCs w:val="24"/>
              </w:rPr>
              <w:t>。</w:t>
            </w:r>
          </w:p>
          <w:p w14:paraId="6A4ECCF7">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（2）兴庆区现代奶畜产业示范园区。扩大万亩奶牛园区生产规模，辖区奶牛存栏达到3万头以上，年产优质鲜奶8万吨，苜蓿、构树等饲草种植基地1万亩。</w:t>
            </w:r>
          </w:p>
        </w:tc>
      </w:tr>
    </w:tbl>
    <w:p w14:paraId="56C7651F">
      <w:pPr>
        <w:pStyle w:val="3"/>
        <w:spacing w:before="0" w:beforeLines="0" w:after="0" w:afterLines="0" w:line="240" w:lineRule="exact"/>
        <w:ind w:firstLine="0" w:firstLineChars="0"/>
        <w:jc w:val="center"/>
        <w:rPr>
          <w:rFonts w:hint="eastAsia" w:ascii="黑体" w:hAnsi="Times New Roman" w:eastAsia="黑体" w:cs="Times New Roman"/>
          <w:b w:val="0"/>
        </w:rPr>
      </w:pPr>
      <w:bookmarkStart w:id="106" w:name="_Toc439358325"/>
    </w:p>
    <w:p w14:paraId="2BB5D184">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第三节  推进新型工业发展</w:t>
      </w:r>
      <w:bookmarkEnd w:id="106"/>
    </w:p>
    <w:p w14:paraId="0BEBAF2D">
      <w:pPr>
        <w:spacing w:line="610" w:lineRule="exact"/>
        <w:ind w:firstLine="630" w:firstLineChars="196"/>
        <w:rPr>
          <w:rFonts w:ascii="Times New Roman" w:hAnsi="Times New Roman" w:cs="Times New Roman"/>
          <w:b/>
          <w:sz w:val="32"/>
          <w:szCs w:val="32"/>
        </w:rPr>
      </w:pPr>
      <w:r>
        <w:rPr>
          <w:rFonts w:ascii="Times New Roman" w:hAnsi="Times New Roman" w:cs="Times New Roman"/>
          <w:b/>
          <w:sz w:val="32"/>
          <w:szCs w:val="32"/>
        </w:rPr>
        <w:t>构建产业体系。</w:t>
      </w:r>
      <w:r>
        <w:rPr>
          <w:rFonts w:ascii="Times New Roman" w:hAnsi="Times New Roman" w:cs="Times New Roman"/>
          <w:sz w:val="32"/>
          <w:szCs w:val="32"/>
        </w:rPr>
        <w:t>建设食品生产基地及加工贸易园区，积极发展牛羊肉、乳制品、瓜菜、优质稻等农产品深加工。扩大卧龙变压器等龙头企业的生产规模，积极发展高铁、石油、煤矿专用设备和环保设备、节能设备生产。以通航产业为方向，引进、培育航空整机制造、航空零部件出口加工等高端制造业企业。</w:t>
      </w:r>
    </w:p>
    <w:p w14:paraId="28427487">
      <w:pPr>
        <w:spacing w:line="610" w:lineRule="exact"/>
        <w:ind w:firstLine="630" w:firstLineChars="196"/>
        <w:rPr>
          <w:rFonts w:ascii="Times New Roman" w:hAnsi="Times New Roman" w:cs="Times New Roman"/>
          <w:b/>
          <w:sz w:val="32"/>
          <w:szCs w:val="32"/>
        </w:rPr>
      </w:pPr>
      <w:r>
        <w:rPr>
          <w:rFonts w:ascii="Times New Roman" w:hAnsi="Times New Roman" w:cs="Times New Roman"/>
          <w:b/>
          <w:sz w:val="32"/>
          <w:szCs w:val="32"/>
        </w:rPr>
        <w:t>强化政策扶持。</w:t>
      </w:r>
      <w:r>
        <w:rPr>
          <w:rFonts w:ascii="Times New Roman" w:hAnsi="Times New Roman" w:cs="Times New Roman"/>
          <w:sz w:val="32"/>
          <w:szCs w:val="32"/>
        </w:rPr>
        <w:t>加强对规模以上骨干企业、支柱产业的支持，不断提高产值。做好规模以下工业企业的跟踪服务，扶持一批符合产业政策的中小企业。引进新一代电子信息技术，鼓励工业企业进行技术创新，促进产业转型、节能减排，提高资源利用效率，加快新型工业化进程。</w:t>
      </w:r>
    </w:p>
    <w:p w14:paraId="43BBFBC8">
      <w:pPr>
        <w:pStyle w:val="2"/>
        <w:spacing w:before="0" w:beforeLines="0" w:after="0" w:afterLines="0" w:line="240" w:lineRule="exact"/>
        <w:ind w:firstLine="0" w:firstLineChars="0"/>
        <w:jc w:val="center"/>
        <w:rPr>
          <w:rFonts w:hint="eastAsia" w:ascii="Times New Roman" w:hAnsi="Times New Roman" w:cs="Times New Roman"/>
        </w:rPr>
      </w:pPr>
      <w:r>
        <w:rPr>
          <w:rFonts w:ascii="Times New Roman" w:hAnsi="Times New Roman" w:cs="Times New Roman"/>
        </w:rPr>
        <w:br w:type="page"/>
      </w:r>
      <w:bookmarkEnd w:id="103"/>
      <w:bookmarkEnd w:id="104"/>
      <w:bookmarkStart w:id="107" w:name="_Toc439358326"/>
      <w:bookmarkStart w:id="108" w:name="_Toc439358328"/>
    </w:p>
    <w:p w14:paraId="5F627613">
      <w:pPr>
        <w:pStyle w:val="2"/>
        <w:spacing w:before="156" w:beforeLines="50" w:after="0" w:afterLines="0" w:line="520" w:lineRule="exact"/>
        <w:ind w:firstLine="0" w:firstLineChars="0"/>
        <w:jc w:val="center"/>
        <w:rPr>
          <w:rFonts w:eastAsia="方正小标宋_GBK"/>
          <w:b w:val="0"/>
        </w:rPr>
      </w:pPr>
      <w:r>
        <w:rPr>
          <w:rFonts w:eastAsia="方正小标宋_GBK"/>
          <w:b w:val="0"/>
        </w:rPr>
        <w:t xml:space="preserve">第六章 </w:t>
      </w:r>
      <w:r>
        <w:rPr>
          <w:rFonts w:hint="eastAsia" w:eastAsia="方正小标宋_GBK"/>
          <w:b w:val="0"/>
        </w:rPr>
        <w:t xml:space="preserve"> </w:t>
      </w:r>
      <w:r>
        <w:rPr>
          <w:rFonts w:eastAsia="方正小标宋_GBK"/>
          <w:b w:val="0"/>
        </w:rPr>
        <w:t>统筹兼顾，促进城乡社会协调发展</w:t>
      </w:r>
      <w:bookmarkEnd w:id="107"/>
    </w:p>
    <w:p w14:paraId="224DA50B">
      <w:pPr>
        <w:pStyle w:val="3"/>
        <w:spacing w:before="312" w:beforeLines="100" w:after="156" w:afterLines="50" w:line="520" w:lineRule="exact"/>
        <w:ind w:firstLine="0" w:firstLineChars="0"/>
        <w:jc w:val="center"/>
        <w:rPr>
          <w:rFonts w:ascii="黑体" w:hAnsi="Times New Roman" w:eastAsia="黑体" w:cs="Times New Roman"/>
          <w:b w:val="0"/>
        </w:rPr>
      </w:pPr>
      <w:bookmarkStart w:id="109" w:name="_Toc439358327"/>
      <w:r>
        <w:rPr>
          <w:rFonts w:ascii="黑体" w:hAnsi="Times New Roman" w:eastAsia="黑体" w:cs="Times New Roman"/>
          <w:b w:val="0"/>
        </w:rPr>
        <w:t>第一节</w:t>
      </w:r>
      <w:r>
        <w:rPr>
          <w:rFonts w:hint="eastAsia" w:ascii="黑体" w:hAnsi="Times New Roman" w:eastAsia="黑体" w:cs="Times New Roman"/>
          <w:b w:val="0"/>
        </w:rPr>
        <w:t xml:space="preserve">  </w:t>
      </w:r>
      <w:r>
        <w:rPr>
          <w:rFonts w:ascii="黑体" w:hAnsi="Times New Roman" w:eastAsia="黑体" w:cs="Times New Roman"/>
          <w:b w:val="0"/>
        </w:rPr>
        <w:t>优化城乡空间布局</w:t>
      </w:r>
      <w:bookmarkEnd w:id="109"/>
    </w:p>
    <w:p w14:paraId="4E99A548">
      <w:pPr>
        <w:adjustRightInd w:val="0"/>
        <w:snapToGrid w:val="0"/>
        <w:spacing w:line="610" w:lineRule="exact"/>
        <w:ind w:firstLine="643"/>
        <w:rPr>
          <w:rFonts w:ascii="Times New Roman" w:hAnsi="Times New Roman" w:cs="Times New Roman"/>
          <w:b/>
          <w:sz w:val="32"/>
          <w:szCs w:val="32"/>
        </w:rPr>
      </w:pPr>
      <w:r>
        <w:rPr>
          <w:rFonts w:hint="eastAsia" w:ascii="仿宋_GB2312" w:hAnsi="Times New Roman" w:cs="Times New Roman"/>
          <w:b/>
          <w:sz w:val="32"/>
          <w:szCs w:val="32"/>
        </w:rPr>
        <w:t>构建“联西衔南，拓东进北；一主三副，城乡统筹”的总体</w:t>
      </w:r>
      <w:r>
        <w:rPr>
          <w:rFonts w:ascii="Times New Roman" w:hAnsi="Times New Roman" w:cs="Times New Roman"/>
          <w:b/>
          <w:sz w:val="32"/>
          <w:szCs w:val="32"/>
        </w:rPr>
        <w:t>空间发展格局</w:t>
      </w:r>
    </w:p>
    <w:p w14:paraId="73B1E38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联西衔南，拓东进北。</w:t>
      </w:r>
      <w:r>
        <w:rPr>
          <w:rFonts w:ascii="Times New Roman" w:hAnsi="Times New Roman" w:cs="Times New Roman"/>
          <w:bCs/>
          <w:sz w:val="32"/>
          <w:szCs w:val="32"/>
        </w:rPr>
        <w:t>对接滨河新区、综保区、宁东新区，加强与金凤、西夏两区的联系，整合资源，推动产业升级，统筹区域联动发展。</w:t>
      </w:r>
    </w:p>
    <w:p w14:paraId="7264FCE9">
      <w:pPr>
        <w:spacing w:before="156" w:beforeLines="50"/>
        <w:ind w:firstLine="0" w:firstLineChars="0"/>
        <w:jc w:val="center"/>
        <w:rPr>
          <w:rFonts w:ascii="Times New Roman" w:hAnsi="Times New Roman" w:cs="Times New Roman"/>
        </w:rPr>
      </w:pPr>
      <w:r>
        <w:rPr>
          <w:rFonts w:ascii="Times New Roman" w:hAnsi="Times New Roman" w:cs="Times New Roman"/>
        </w:rPr>
        <w:drawing>
          <wp:inline distT="0" distB="0" distL="114300" distR="114300">
            <wp:extent cx="4619625" cy="3482975"/>
            <wp:effectExtent l="0" t="0" r="1333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4619625" cy="3482975"/>
                    </a:xfrm>
                    <a:prstGeom prst="rect">
                      <a:avLst/>
                    </a:prstGeom>
                    <a:noFill/>
                    <a:ln>
                      <a:noFill/>
                    </a:ln>
                  </pic:spPr>
                </pic:pic>
              </a:graphicData>
            </a:graphic>
          </wp:inline>
        </w:drawing>
      </w:r>
    </w:p>
    <w:p w14:paraId="6CAC2037">
      <w:pPr>
        <w:adjustRightInd w:val="0"/>
        <w:snapToGrid w:val="0"/>
        <w:spacing w:line="520" w:lineRule="exact"/>
        <w:ind w:firstLine="0" w:firstLineChars="0"/>
        <w:jc w:val="center"/>
        <w:rPr>
          <w:rFonts w:hint="eastAsia" w:ascii="仿宋_GB2312" w:hAnsi="Times New Roman" w:cs="Times New Roman"/>
          <w:b/>
          <w:sz w:val="24"/>
          <w:szCs w:val="24"/>
        </w:rPr>
      </w:pPr>
      <w:bookmarkStart w:id="110" w:name="_Toc441134459"/>
      <w:bookmarkStart w:id="111" w:name="_Toc428218093"/>
      <w:r>
        <w:rPr>
          <w:rFonts w:hint="eastAsia" w:ascii="仿宋_GB2312" w:hAnsi="Times New Roman" w:cs="Times New Roman"/>
          <w:b/>
          <w:sz w:val="24"/>
          <w:szCs w:val="24"/>
        </w:rPr>
        <w:t>图</w:t>
      </w:r>
      <w:r>
        <w:rPr>
          <w:rFonts w:hint="eastAsia" w:ascii="仿宋_GB2312" w:hAnsi="Times New Roman" w:cs="Times New Roman"/>
          <w:b/>
          <w:sz w:val="24"/>
          <w:szCs w:val="24"/>
        </w:rPr>
        <w:fldChar w:fldCharType="begin"/>
      </w:r>
      <w:r>
        <w:rPr>
          <w:rFonts w:hint="eastAsia" w:ascii="仿宋_GB2312" w:hAnsi="Times New Roman" w:cs="Times New Roman"/>
          <w:b/>
          <w:sz w:val="24"/>
          <w:szCs w:val="24"/>
        </w:rPr>
        <w:instrText xml:space="preserve"> SEQ 图 \* ARABIC </w:instrText>
      </w:r>
      <w:r>
        <w:rPr>
          <w:rFonts w:hint="eastAsia" w:ascii="仿宋_GB2312" w:hAnsi="Times New Roman" w:cs="Times New Roman"/>
          <w:b/>
          <w:sz w:val="24"/>
          <w:szCs w:val="24"/>
        </w:rPr>
        <w:fldChar w:fldCharType="separate"/>
      </w:r>
      <w:r>
        <w:rPr>
          <w:rFonts w:ascii="仿宋_GB2312" w:hAnsi="Times New Roman" w:cs="Times New Roman"/>
          <w:b/>
          <w:sz w:val="24"/>
          <w:szCs w:val="24"/>
        </w:rPr>
        <w:t>5</w:t>
      </w:r>
      <w:r>
        <w:rPr>
          <w:rFonts w:hint="eastAsia" w:ascii="仿宋_GB2312" w:hAnsi="Times New Roman" w:cs="Times New Roman"/>
          <w:b/>
          <w:sz w:val="24"/>
          <w:szCs w:val="24"/>
        </w:rPr>
        <w:fldChar w:fldCharType="end"/>
      </w:r>
      <w:r>
        <w:rPr>
          <w:rFonts w:hint="eastAsia" w:ascii="仿宋_GB2312" w:hAnsi="Times New Roman" w:cs="Times New Roman"/>
          <w:b/>
          <w:sz w:val="24"/>
          <w:szCs w:val="24"/>
        </w:rPr>
        <w:t xml:space="preserve">  “十三五”城乡空间发展战略</w:t>
      </w:r>
      <w:bookmarkEnd w:id="110"/>
    </w:p>
    <w:p w14:paraId="49996FAC">
      <w:pPr>
        <w:spacing w:line="240" w:lineRule="exact"/>
        <w:ind w:firstLine="600"/>
        <w:rPr>
          <w:rFonts w:ascii="Times New Roman" w:hAnsi="Times New Roman" w:cs="Times New Roman"/>
        </w:rPr>
      </w:pPr>
    </w:p>
    <w:bookmarkEnd w:id="111"/>
    <w:p w14:paraId="38D536FC">
      <w:pPr>
        <w:adjustRightInd w:val="0"/>
        <w:snapToGrid w:val="0"/>
        <w:spacing w:line="610" w:lineRule="exact"/>
        <w:ind w:firstLine="636" w:firstLineChars="198"/>
        <w:rPr>
          <w:rFonts w:ascii="Times New Roman" w:hAnsi="Times New Roman" w:cs="Times New Roman"/>
          <w:sz w:val="32"/>
          <w:szCs w:val="32"/>
        </w:rPr>
      </w:pPr>
      <w:r>
        <w:rPr>
          <w:rFonts w:ascii="Times New Roman" w:hAnsi="Times New Roman" w:cs="Times New Roman"/>
          <w:b/>
          <w:sz w:val="32"/>
          <w:szCs w:val="32"/>
        </w:rPr>
        <w:t>搭建相互协同、联动发展空间框架。</w:t>
      </w:r>
      <w:r>
        <w:rPr>
          <w:rFonts w:ascii="Times New Roman" w:hAnsi="Times New Roman" w:cs="Times New Roman"/>
          <w:sz w:val="32"/>
          <w:szCs w:val="32"/>
        </w:rPr>
        <w:t>顺势大银川都市区建设，依托现有交通基础及未来轨交建设，完善连接兴庆区与滨河新区、吴忠、贺兰、永宁及金凤、西夏相邻片区公共交通体系，提高人才、资金、信息、商贸的流通效率，扩大兴庆区服务业辐射范围。</w:t>
      </w:r>
    </w:p>
    <w:p w14:paraId="37871340">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加强与黄河以东各核心片区合作，形成特色化、现代化、循环化的产业分工。</w:t>
      </w:r>
      <w:r>
        <w:rPr>
          <w:rFonts w:ascii="Times New Roman" w:hAnsi="Times New Roman" w:cs="Times New Roman"/>
          <w:sz w:val="32"/>
          <w:szCs w:val="32"/>
        </w:rPr>
        <w:t>抢抓通航产业发展机遇，促进现有产业结构调整，培育新兴产业。促进商贸物流带与银川综</w:t>
      </w:r>
      <w:r>
        <w:rPr>
          <w:rFonts w:hint="eastAsia" w:ascii="仿宋_GB2312" w:hAnsi="Times New Roman" w:cs="Times New Roman"/>
          <w:sz w:val="32"/>
          <w:szCs w:val="32"/>
        </w:rPr>
        <w:t>保区的“线上线下”合作模式，加强对</w:t>
      </w:r>
      <w:r>
        <w:rPr>
          <w:rFonts w:hint="eastAsia" w:ascii="仿宋_GB2312" w:hAnsi="Times New Roman" w:cs="Times New Roman"/>
          <w:sz w:val="32"/>
          <w:szCs w:val="32"/>
          <w:lang w:eastAsia="zh-CN"/>
        </w:rPr>
        <w:t>外</w:t>
      </w:r>
      <w:r>
        <w:rPr>
          <w:rFonts w:hint="eastAsia" w:ascii="仿宋_GB2312" w:hAnsi="Times New Roman" w:cs="Times New Roman"/>
          <w:sz w:val="32"/>
          <w:szCs w:val="32"/>
        </w:rPr>
        <w:t>商贸合作，强化生产</w:t>
      </w:r>
      <w:r>
        <w:rPr>
          <w:rFonts w:ascii="Times New Roman" w:hAnsi="Times New Roman" w:cs="Times New Roman"/>
          <w:sz w:val="32"/>
          <w:szCs w:val="32"/>
        </w:rPr>
        <w:t>性服务业辐射作用，吸引蒙、陕、甘等毗邻地区人口、资金、技术、文化等特色要素融入本区发展，形成外延市场。</w:t>
      </w:r>
    </w:p>
    <w:p w14:paraId="75FB94EE">
      <w:pPr>
        <w:spacing w:line="610" w:lineRule="exact"/>
        <w:ind w:firstLine="643"/>
        <w:rPr>
          <w:rFonts w:ascii="Times New Roman" w:hAnsi="Times New Roman" w:cs="Times New Roman"/>
          <w:bCs/>
          <w:sz w:val="32"/>
          <w:szCs w:val="32"/>
        </w:rPr>
      </w:pPr>
      <w:bookmarkStart w:id="112" w:name="_Toc437344118"/>
      <w:r>
        <w:rPr>
          <w:rFonts w:ascii="Times New Roman" w:hAnsi="Times New Roman" w:cs="Times New Roman"/>
          <w:b/>
          <w:bCs/>
          <w:sz w:val="32"/>
          <w:szCs w:val="32"/>
        </w:rPr>
        <w:t>现代城镇体系与功能定位</w:t>
      </w:r>
      <w:bookmarkEnd w:id="112"/>
      <w:r>
        <w:rPr>
          <w:rFonts w:ascii="Times New Roman" w:hAnsi="Times New Roman" w:cs="Times New Roman"/>
          <w:b/>
          <w:bCs/>
          <w:sz w:val="32"/>
          <w:szCs w:val="32"/>
        </w:rPr>
        <w:t>。</w:t>
      </w:r>
      <w:r>
        <w:rPr>
          <w:rFonts w:ascii="Times New Roman" w:hAnsi="Times New Roman" w:cs="Times New Roman"/>
          <w:sz w:val="32"/>
          <w:szCs w:val="32"/>
        </w:rPr>
        <w:t>重点打造</w:t>
      </w:r>
      <w:r>
        <w:rPr>
          <w:rFonts w:hint="eastAsia" w:ascii="仿宋_GB2312" w:hAnsi="Times New Roman" w:cs="Times New Roman"/>
          <w:b/>
          <w:bCs/>
          <w:sz w:val="32"/>
          <w:szCs w:val="32"/>
        </w:rPr>
        <w:t>“</w:t>
      </w:r>
      <w:r>
        <w:rPr>
          <w:rFonts w:ascii="Times New Roman" w:hAnsi="Times New Roman" w:cs="Times New Roman"/>
          <w:b/>
          <w:bCs/>
          <w:sz w:val="32"/>
          <w:szCs w:val="32"/>
        </w:rPr>
        <w:t>1+3</w:t>
      </w:r>
      <w:r>
        <w:rPr>
          <w:rFonts w:hint="eastAsia" w:ascii="仿宋_GB2312" w:hAnsi="Times New Roman" w:cs="Times New Roman"/>
          <w:b/>
          <w:bCs/>
          <w:sz w:val="32"/>
          <w:szCs w:val="32"/>
        </w:rPr>
        <w:t>”</w:t>
      </w:r>
      <w:r>
        <w:rPr>
          <w:rFonts w:ascii="Times New Roman" w:hAnsi="Times New Roman" w:cs="Times New Roman"/>
          <w:bCs/>
          <w:sz w:val="32"/>
          <w:szCs w:val="32"/>
        </w:rPr>
        <w:t>城镇体系，即构建</w:t>
      </w:r>
      <w:r>
        <w:rPr>
          <w:rFonts w:hint="eastAsia" w:ascii="仿宋_GB2312" w:hAnsi="Times New Roman" w:cs="Times New Roman"/>
          <w:b/>
          <w:bCs/>
          <w:sz w:val="32"/>
          <w:szCs w:val="32"/>
        </w:rPr>
        <w:t>“</w:t>
      </w:r>
      <w:r>
        <w:rPr>
          <w:rFonts w:ascii="Times New Roman" w:hAnsi="Times New Roman" w:cs="Times New Roman"/>
          <w:b/>
          <w:bCs/>
          <w:sz w:val="32"/>
          <w:szCs w:val="32"/>
        </w:rPr>
        <w:t>１个中心组团，3个副中心组团</w:t>
      </w:r>
      <w:r>
        <w:rPr>
          <w:rFonts w:hint="eastAsia" w:ascii="仿宋_GB2312" w:hAnsi="Times New Roman" w:cs="Times New Roman"/>
          <w:b/>
          <w:bCs/>
          <w:sz w:val="32"/>
          <w:szCs w:val="32"/>
        </w:rPr>
        <w:t>”</w:t>
      </w:r>
      <w:r>
        <w:rPr>
          <w:rFonts w:ascii="Times New Roman" w:hAnsi="Times New Roman" w:cs="Times New Roman"/>
          <w:bCs/>
          <w:sz w:val="32"/>
          <w:szCs w:val="32"/>
        </w:rPr>
        <w:t>的城乡社会发展一体化新格局。中心组团为兴庆区服务业中心，副中心组团为兴庆区都市农业、生态涵养、通航等新兴产业承载区。</w:t>
      </w:r>
    </w:p>
    <w:p w14:paraId="3985A6B8">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w:t>
      </w:r>
      <w:r>
        <w:rPr>
          <w:rFonts w:hint="eastAsia" w:ascii="仿宋_GB2312" w:hAnsi="Times New Roman" w:cs="Times New Roman"/>
          <w:b/>
          <w:sz w:val="32"/>
          <w:szCs w:val="32"/>
        </w:rPr>
        <w:t>“</w:t>
      </w:r>
      <w:r>
        <w:rPr>
          <w:rFonts w:ascii="Times New Roman" w:hAnsi="Times New Roman" w:cs="Times New Roman"/>
          <w:b/>
          <w:sz w:val="32"/>
          <w:szCs w:val="32"/>
        </w:rPr>
        <w:t>1</w:t>
      </w:r>
      <w:r>
        <w:rPr>
          <w:rFonts w:hint="eastAsia" w:ascii="仿宋_GB2312" w:hAnsi="Times New Roman" w:cs="Times New Roman"/>
          <w:b/>
          <w:sz w:val="32"/>
          <w:szCs w:val="32"/>
        </w:rPr>
        <w:t>”</w:t>
      </w:r>
      <w:r>
        <w:rPr>
          <w:rFonts w:ascii="Times New Roman" w:hAnsi="Times New Roman" w:cs="Times New Roman"/>
          <w:b/>
          <w:sz w:val="32"/>
          <w:szCs w:val="32"/>
        </w:rPr>
        <w:t>个中心组团</w:t>
      </w:r>
      <w:r>
        <w:rPr>
          <w:rFonts w:ascii="Times New Roman" w:hAnsi="Times New Roman" w:cs="Times New Roman"/>
          <w:sz w:val="32"/>
          <w:szCs w:val="32"/>
        </w:rPr>
        <w:t>：城区11街道办事处+大新镇</w:t>
      </w:r>
    </w:p>
    <w:p w14:paraId="12EE7465">
      <w:pPr>
        <w:spacing w:line="610" w:lineRule="exact"/>
        <w:ind w:firstLine="643"/>
        <w:rPr>
          <w:rFonts w:ascii="Times New Roman" w:hAnsi="Times New Roman" w:cs="Times New Roman"/>
          <w:b/>
          <w:bCs/>
          <w:sz w:val="32"/>
          <w:szCs w:val="32"/>
        </w:rPr>
      </w:pPr>
      <w:r>
        <w:rPr>
          <w:rFonts w:ascii="Times New Roman" w:hAnsi="Times New Roman" w:cs="Times New Roman"/>
          <w:b/>
          <w:sz w:val="32"/>
          <w:szCs w:val="32"/>
        </w:rPr>
        <w:t>——</w:t>
      </w:r>
      <w:r>
        <w:rPr>
          <w:rFonts w:hint="eastAsia" w:ascii="仿宋_GB2312" w:hAnsi="Times New Roman" w:cs="Times New Roman"/>
          <w:b/>
          <w:sz w:val="32"/>
          <w:szCs w:val="32"/>
        </w:rPr>
        <w:t>“</w:t>
      </w:r>
      <w:r>
        <w:rPr>
          <w:rFonts w:ascii="Times New Roman" w:hAnsi="Times New Roman" w:cs="Times New Roman"/>
          <w:b/>
          <w:sz w:val="32"/>
          <w:szCs w:val="32"/>
        </w:rPr>
        <w:t>3</w:t>
      </w:r>
      <w:r>
        <w:rPr>
          <w:rFonts w:hint="eastAsia" w:ascii="仿宋_GB2312" w:hAnsi="Times New Roman" w:cs="Times New Roman"/>
          <w:b/>
          <w:sz w:val="32"/>
          <w:szCs w:val="32"/>
        </w:rPr>
        <w:t>”</w:t>
      </w:r>
      <w:r>
        <w:rPr>
          <w:rFonts w:ascii="Times New Roman" w:hAnsi="Times New Roman" w:cs="Times New Roman"/>
          <w:b/>
          <w:sz w:val="32"/>
          <w:szCs w:val="32"/>
        </w:rPr>
        <w:t>个副中心区</w:t>
      </w:r>
      <w:r>
        <w:rPr>
          <w:rFonts w:ascii="Times New Roman" w:hAnsi="Times New Roman" w:cs="Times New Roman"/>
          <w:sz w:val="32"/>
          <w:szCs w:val="32"/>
        </w:rPr>
        <w:t>：掌政镇+通贵乡+月牙湖乡</w:t>
      </w:r>
    </w:p>
    <w:p w14:paraId="08965A9E">
      <w:pPr>
        <w:widowControl/>
        <w:spacing w:line="240" w:lineRule="auto"/>
        <w:ind w:firstLine="0" w:firstLineChars="0"/>
        <w:jc w:val="center"/>
        <w:rPr>
          <w:rFonts w:ascii="Times New Roman" w:hAnsi="Times New Roman" w:cs="Times New Roman"/>
          <w:kern w:val="0"/>
          <w:sz w:val="24"/>
          <w:szCs w:val="24"/>
        </w:rPr>
      </w:pPr>
      <w:r>
        <w:rPr>
          <w:rFonts w:ascii="Times New Roman" w:hAnsi="Times New Roman" w:cs="Times New Roman"/>
          <w:kern w:val="0"/>
          <w:sz w:val="24"/>
          <w:szCs w:val="24"/>
        </w:rPr>
        <w:drawing>
          <wp:inline distT="0" distB="0" distL="114300" distR="114300">
            <wp:extent cx="5071745" cy="2896235"/>
            <wp:effectExtent l="0" t="0" r="3175" b="1460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8"/>
                    <a:stretch>
                      <a:fillRect/>
                    </a:stretch>
                  </pic:blipFill>
                  <pic:spPr>
                    <a:xfrm>
                      <a:off x="0" y="0"/>
                      <a:ext cx="5071745" cy="2896235"/>
                    </a:xfrm>
                    <a:prstGeom prst="rect">
                      <a:avLst/>
                    </a:prstGeom>
                    <a:noFill/>
                    <a:ln>
                      <a:noFill/>
                    </a:ln>
                  </pic:spPr>
                </pic:pic>
              </a:graphicData>
            </a:graphic>
          </wp:inline>
        </w:drawing>
      </w:r>
    </w:p>
    <w:p w14:paraId="45DD76CB">
      <w:pPr>
        <w:adjustRightInd w:val="0"/>
        <w:snapToGrid w:val="0"/>
        <w:spacing w:line="520" w:lineRule="exact"/>
        <w:ind w:firstLine="0" w:firstLineChars="0"/>
        <w:jc w:val="center"/>
        <w:rPr>
          <w:rFonts w:hint="eastAsia" w:ascii="仿宋_GB2312" w:hAnsi="Times New Roman" w:cs="Times New Roman"/>
          <w:b/>
          <w:sz w:val="24"/>
          <w:szCs w:val="24"/>
        </w:rPr>
      </w:pPr>
      <w:bookmarkStart w:id="113" w:name="_Toc441134460"/>
      <w:bookmarkStart w:id="114" w:name="_Toc428218044"/>
      <w:r>
        <w:rPr>
          <w:rFonts w:hint="eastAsia" w:ascii="仿宋_GB2312" w:hAnsi="Times New Roman" w:cs="Times New Roman"/>
          <w:b/>
          <w:sz w:val="24"/>
          <w:szCs w:val="24"/>
        </w:rPr>
        <w:t>图</w:t>
      </w:r>
      <w:r>
        <w:rPr>
          <w:rFonts w:hint="eastAsia" w:ascii="仿宋_GB2312" w:hAnsi="Times New Roman" w:cs="Times New Roman"/>
          <w:b/>
          <w:sz w:val="24"/>
          <w:szCs w:val="24"/>
        </w:rPr>
        <w:fldChar w:fldCharType="begin"/>
      </w:r>
      <w:r>
        <w:rPr>
          <w:rFonts w:hint="eastAsia" w:ascii="仿宋_GB2312" w:hAnsi="Times New Roman" w:cs="Times New Roman"/>
          <w:b/>
          <w:sz w:val="24"/>
          <w:szCs w:val="24"/>
        </w:rPr>
        <w:instrText xml:space="preserve"> SEQ 图 \* ARABIC </w:instrText>
      </w:r>
      <w:r>
        <w:rPr>
          <w:rFonts w:hint="eastAsia" w:ascii="仿宋_GB2312" w:hAnsi="Times New Roman" w:cs="Times New Roman"/>
          <w:b/>
          <w:sz w:val="24"/>
          <w:szCs w:val="24"/>
        </w:rPr>
        <w:fldChar w:fldCharType="separate"/>
      </w:r>
      <w:r>
        <w:rPr>
          <w:rFonts w:ascii="仿宋_GB2312" w:hAnsi="Times New Roman" w:cs="Times New Roman"/>
          <w:b/>
          <w:sz w:val="24"/>
          <w:szCs w:val="24"/>
        </w:rPr>
        <w:t>6</w:t>
      </w:r>
      <w:r>
        <w:rPr>
          <w:rFonts w:hint="eastAsia" w:ascii="仿宋_GB2312" w:hAnsi="Times New Roman" w:cs="Times New Roman"/>
          <w:b/>
          <w:sz w:val="24"/>
          <w:szCs w:val="24"/>
        </w:rPr>
        <w:fldChar w:fldCharType="end"/>
      </w:r>
      <w:r>
        <w:rPr>
          <w:rFonts w:hint="eastAsia" w:ascii="仿宋_GB2312" w:hAnsi="Times New Roman" w:cs="Times New Roman"/>
          <w:b/>
          <w:sz w:val="24"/>
          <w:szCs w:val="24"/>
        </w:rPr>
        <w:t xml:space="preserve">  “十三五”城乡空间布局</w:t>
      </w:r>
      <w:bookmarkEnd w:id="113"/>
    </w:p>
    <w:bookmarkEnd w:id="114"/>
    <w:p w14:paraId="3F4018B8">
      <w:pPr>
        <w:pStyle w:val="3"/>
        <w:spacing w:before="0" w:beforeLines="0" w:after="0" w:afterLines="0" w:line="240" w:lineRule="exact"/>
        <w:ind w:firstLine="0" w:firstLineChars="0"/>
        <w:jc w:val="center"/>
        <w:rPr>
          <w:rFonts w:hint="eastAsia" w:ascii="黑体" w:hAnsi="Times New Roman" w:eastAsia="黑体" w:cs="Times New Roman"/>
          <w:b w:val="0"/>
        </w:rPr>
      </w:pPr>
    </w:p>
    <w:p w14:paraId="542A94AD">
      <w:pPr>
        <w:pStyle w:val="3"/>
        <w:spacing w:before="156" w:beforeLines="5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完善基础设施建设</w:t>
      </w:r>
      <w:bookmarkEnd w:id="108"/>
    </w:p>
    <w:p w14:paraId="3B6F497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完善城乡交通基础设施体系。</w:t>
      </w:r>
      <w:r>
        <w:rPr>
          <w:rFonts w:ascii="Times New Roman" w:hAnsi="Times New Roman" w:cs="Times New Roman"/>
          <w:color w:val="000000"/>
          <w:sz w:val="32"/>
          <w:szCs w:val="32"/>
        </w:rPr>
        <w:t>加快推进兴庆区东部路网建设，启动银通路、银横路等一批重点道路建设、提升改造工程。进一步加强兴庆区路网通行能力，加快建成与区市重大园区、银川快速通道互联互通的交通体系。</w:t>
      </w:r>
      <w:r>
        <w:rPr>
          <w:rFonts w:ascii="Times New Roman" w:hAnsi="Times New Roman" w:cs="Times New Roman"/>
          <w:sz w:val="32"/>
          <w:szCs w:val="32"/>
        </w:rPr>
        <w:t>加大通贵、掌政小城镇建设力度，完善农村路网建设，新建、翻建农村公路120公里，农村庄点道路硬化率达到100%，主干道路实现亮化全覆盖。规划建设小城镇至市区的公交系统，推进乡村公路畅通化、庄点巷道标准化、运输服务均等化。协调配合黄河大桥（滨河黄河大桥/永宁黄河大桥）兴庆区段建设。</w:t>
      </w:r>
    </w:p>
    <w:p w14:paraId="7E92A1A6">
      <w:pPr>
        <w:adjustRightInd w:val="0"/>
        <w:snapToGrid w:val="0"/>
        <w:spacing w:line="610" w:lineRule="exact"/>
        <w:ind w:firstLine="643"/>
        <w:rPr>
          <w:rFonts w:ascii="Times New Roman" w:hAnsi="Times New Roman" w:cs="Times New Roman"/>
          <w:sz w:val="32"/>
          <w:szCs w:val="32"/>
        </w:rPr>
      </w:pPr>
      <w:r>
        <w:rPr>
          <w:rStyle w:val="12"/>
          <w:rFonts w:ascii="Times New Roman" w:hAnsi="Times New Roman" w:cs="Times New Roman"/>
          <w:sz w:val="32"/>
          <w:szCs w:val="32"/>
        </w:rPr>
        <w:t>完善城乡生产生活基础设施建设。</w:t>
      </w:r>
      <w:r>
        <w:rPr>
          <w:rFonts w:ascii="Times New Roman" w:hAnsi="Times New Roman" w:cs="Times New Roman"/>
          <w:color w:val="000000"/>
          <w:sz w:val="32"/>
          <w:szCs w:val="32"/>
        </w:rPr>
        <w:t>引进高效节水灌溉工程，建设高标准农田14.3万亩，抓好一万亩盐碱地治理项目。实施农村人饮安全巩固提升工程，确保群众喝上放心水。</w:t>
      </w:r>
      <w:r>
        <w:rPr>
          <w:rStyle w:val="12"/>
          <w:rFonts w:ascii="Times New Roman" w:hAnsi="Times New Roman" w:cs="Times New Roman"/>
          <w:b w:val="0"/>
          <w:sz w:val="32"/>
          <w:szCs w:val="32"/>
        </w:rPr>
        <w:t>推进城乡电力设施建设，</w:t>
      </w:r>
      <w:r>
        <w:rPr>
          <w:rFonts w:ascii="Times New Roman" w:hAnsi="Times New Roman" w:cs="Times New Roman"/>
          <w:sz w:val="32"/>
          <w:szCs w:val="32"/>
        </w:rPr>
        <w:t>保障变电站等设施建设用地，预留和严格保护输电线路等走廊，加强城市配电网建设。</w:t>
      </w:r>
      <w:r>
        <w:rPr>
          <w:rStyle w:val="12"/>
          <w:rFonts w:ascii="Times New Roman" w:hAnsi="Times New Roman" w:cs="Times New Roman"/>
          <w:b w:val="0"/>
          <w:sz w:val="32"/>
          <w:szCs w:val="32"/>
        </w:rPr>
        <w:t>完善城乡污水收集系统，</w:t>
      </w:r>
      <w:r>
        <w:rPr>
          <w:rFonts w:ascii="Times New Roman" w:hAnsi="Times New Roman" w:cs="Times New Roman"/>
          <w:bCs/>
          <w:sz w:val="32"/>
          <w:szCs w:val="32"/>
        </w:rPr>
        <w:t>采用就近集中的原则，将村庄污水收集与处理</w:t>
      </w:r>
      <w:r>
        <w:rPr>
          <w:rFonts w:ascii="Times New Roman" w:hAnsi="Times New Roman" w:cs="Times New Roman"/>
          <w:sz w:val="32"/>
          <w:szCs w:val="32"/>
        </w:rPr>
        <w:t>纳入市区污水收集处理系统。建设滨河家园污水处理厂。加快生活垃圾收集转运系统建设。农村生活垃圾无害化处理率达到95%，生活污水处理率达到35%以上。</w:t>
      </w:r>
    </w:p>
    <w:p w14:paraId="0AD2D1C2">
      <w:pPr>
        <w:adjustRightInd w:val="0"/>
        <w:snapToGrid w:val="0"/>
        <w:spacing w:line="610" w:lineRule="exact"/>
        <w:ind w:firstLine="651"/>
        <w:rPr>
          <w:rFonts w:ascii="Times New Roman" w:hAnsi="Times New Roman" w:cs="Times New Roman"/>
          <w:spacing w:val="2"/>
          <w:sz w:val="32"/>
          <w:szCs w:val="32"/>
        </w:rPr>
      </w:pPr>
      <w:r>
        <w:rPr>
          <w:rFonts w:ascii="Times New Roman" w:hAnsi="Times New Roman" w:cs="Times New Roman"/>
          <w:b/>
          <w:bCs/>
          <w:spacing w:val="2"/>
          <w:sz w:val="32"/>
          <w:szCs w:val="32"/>
        </w:rPr>
        <w:t>加快小城镇建设步伐</w:t>
      </w:r>
      <w:r>
        <w:rPr>
          <w:rFonts w:ascii="Times New Roman" w:hAnsi="Times New Roman" w:cs="Times New Roman"/>
          <w:b/>
          <w:spacing w:val="2"/>
          <w:sz w:val="32"/>
          <w:szCs w:val="32"/>
        </w:rPr>
        <w:t>。</w:t>
      </w:r>
      <w:r>
        <w:rPr>
          <w:rFonts w:ascii="Times New Roman" w:hAnsi="Times New Roman" w:cs="Times New Roman"/>
          <w:spacing w:val="2"/>
          <w:sz w:val="32"/>
          <w:szCs w:val="32"/>
        </w:rPr>
        <w:t>修编掌政镇总体规划，启动京藏高速公路以东农村村庄整合布局调整工作，集中打造一批中心村、</w:t>
      </w:r>
      <w:r>
        <w:rPr>
          <w:rFonts w:hint="eastAsia" w:ascii="仿宋_GB2312" w:hAnsi="Times New Roman" w:cs="Times New Roman"/>
          <w:spacing w:val="2"/>
          <w:sz w:val="32"/>
          <w:szCs w:val="32"/>
        </w:rPr>
        <w:t>特色村。实施京藏高速公路以西“镇改街”及“村改居”工作，逐步</w:t>
      </w:r>
      <w:r>
        <w:rPr>
          <w:rFonts w:ascii="Times New Roman" w:hAnsi="Times New Roman" w:cs="Times New Roman"/>
          <w:spacing w:val="2"/>
          <w:sz w:val="32"/>
          <w:szCs w:val="32"/>
        </w:rPr>
        <w:t>完成北塔四六队、民乐瓷砖市场等所有城中村拆迁改造，拓展发展空间，加快城乡一体化进程，增强城市宜居性和城市发展可持续性。抓好通贵小城镇和月牙湖乡建设，完善水电气暖等基础设施，加快集贸市场等配套服务设施建设。实施掌政小城镇仓储配套设施项目，建设强家庙、河滩中心村粮食仓储及农机具停放点，抓好环境绿化和卫生整治，提升小城镇的品味。</w:t>
      </w:r>
    </w:p>
    <w:p w14:paraId="73AB252D">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bCs/>
          <w:color w:val="000000"/>
          <w:sz w:val="32"/>
          <w:szCs w:val="32"/>
        </w:rPr>
        <w:t>加快棚户区老旧小区改造。</w:t>
      </w:r>
      <w:r>
        <w:rPr>
          <w:rFonts w:ascii="Times New Roman" w:hAnsi="Times New Roman" w:cs="Times New Roman"/>
          <w:bCs/>
          <w:color w:val="000000"/>
          <w:sz w:val="32"/>
          <w:szCs w:val="32"/>
        </w:rPr>
        <w:t>有计划、有步骤地对建设年代较早、配套设施不齐全、存在安全隐患的区域实施棚户区改造，力争五年内全面完成兴庆区300万余平方米老旧小区的改造任务。积极争取区、市资金的支持力度，探索开展PPP模式，扩大融资规模，提高棚户区改造的资金保障水平。加强老旧小区的管理，通过物业化管理、准物业化管理以及居民自治等多种综合治理手段结合的方式，实现物业管理的全覆盖。</w:t>
      </w:r>
    </w:p>
    <w:p w14:paraId="68B51005">
      <w:pPr>
        <w:adjustRightInd w:val="0"/>
        <w:snapToGrid w:val="0"/>
        <w:spacing w:line="610" w:lineRule="exact"/>
        <w:ind w:firstLine="643"/>
        <w:rPr>
          <w:rFonts w:ascii="Times New Roman" w:hAnsi="Times New Roman" w:cs="Times New Roman"/>
          <w:bCs/>
          <w:sz w:val="32"/>
          <w:szCs w:val="32"/>
        </w:rPr>
      </w:pPr>
      <w:r>
        <w:rPr>
          <w:rStyle w:val="12"/>
          <w:rFonts w:ascii="Times New Roman" w:hAnsi="Times New Roman" w:cs="Times New Roman"/>
          <w:sz w:val="32"/>
          <w:szCs w:val="32"/>
        </w:rPr>
        <w:t>启动地下管廊及海绵城市建设。</w:t>
      </w:r>
      <w:r>
        <w:rPr>
          <w:rFonts w:ascii="Times New Roman" w:hAnsi="Times New Roman" w:cs="Times New Roman"/>
          <w:sz w:val="32"/>
          <w:szCs w:val="32"/>
        </w:rPr>
        <w:t>配合银川市完成城市地下管线普查，推进城市地下管线建设。鼓励采取政府与社会资本合作模式（PPP），吸引社会资本参与地下综合管廊投资建设及运营管理；建设余热集中回收装置，将余热管网纳入地下管廊，利用余热供暖缓解供热压力。以</w:t>
      </w:r>
      <w:r>
        <w:rPr>
          <w:rFonts w:ascii="Times New Roman" w:hAnsi="Times New Roman" w:cs="Times New Roman"/>
          <w:bCs/>
          <w:color w:val="000000"/>
          <w:sz w:val="32"/>
          <w:szCs w:val="32"/>
        </w:rPr>
        <w:t>通贵小城镇为试点，</w:t>
      </w:r>
      <w:r>
        <w:rPr>
          <w:rStyle w:val="12"/>
          <w:rFonts w:ascii="Times New Roman" w:hAnsi="Times New Roman" w:cs="Times New Roman"/>
          <w:b w:val="0"/>
          <w:sz w:val="32"/>
          <w:szCs w:val="32"/>
        </w:rPr>
        <w:t>着力启动海绵城市建设。</w:t>
      </w:r>
      <w:r>
        <w:rPr>
          <w:rFonts w:ascii="Times New Roman" w:hAnsi="Times New Roman" w:cs="Times New Roman"/>
          <w:bCs/>
          <w:sz w:val="32"/>
          <w:szCs w:val="32"/>
        </w:rPr>
        <w:t>结合城市分区功能和防洪布局，采取蓄、滞、渗、净、用、排相结合的方式，修建渗透性地面，提升城市内河水系的综合治理，实现生态排水、综合排水，建成较为完善的城市排水防涝工程体系。</w:t>
      </w:r>
      <w:bookmarkStart w:id="115" w:name="_Toc427783582"/>
    </w:p>
    <w:p w14:paraId="6B8B91A8">
      <w:pPr>
        <w:pStyle w:val="3"/>
        <w:spacing w:before="312" w:beforeLines="100" w:after="156" w:afterLines="50" w:line="520" w:lineRule="exact"/>
        <w:ind w:firstLine="0" w:firstLineChars="0"/>
        <w:jc w:val="center"/>
        <w:rPr>
          <w:rFonts w:ascii="黑体" w:hAnsi="Times New Roman" w:eastAsia="黑体" w:cs="Times New Roman"/>
          <w:b w:val="0"/>
        </w:rPr>
      </w:pPr>
      <w:bookmarkStart w:id="116" w:name="_Toc439358329"/>
      <w:r>
        <w:rPr>
          <w:rFonts w:ascii="黑体" w:hAnsi="Times New Roman" w:eastAsia="黑体" w:cs="Times New Roman"/>
          <w:b w:val="0"/>
        </w:rPr>
        <w:t>第三节  打造绿色生态环境</w:t>
      </w:r>
      <w:bookmarkEnd w:id="116"/>
    </w:p>
    <w:p w14:paraId="7B54EED2">
      <w:pPr>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加强生态水系建设。</w:t>
      </w:r>
      <w:r>
        <w:rPr>
          <w:rFonts w:ascii="Times New Roman" w:hAnsi="Times New Roman" w:cs="Times New Roman"/>
          <w:bCs/>
          <w:sz w:val="32"/>
          <w:szCs w:val="32"/>
        </w:rPr>
        <w:t>实施东部水系连通工程，以二二之沟、四三支沟为主线，连通鸣翠湖、闫家湖等湖泊水系2100亩，沿湖系、水道配建休闲观光道路，</w:t>
      </w:r>
      <w:r>
        <w:rPr>
          <w:rFonts w:ascii="Times New Roman" w:hAnsi="Times New Roman" w:cs="Times New Roman"/>
          <w:sz w:val="32"/>
          <w:szCs w:val="32"/>
        </w:rPr>
        <w:t>形成兼有防洪调蓄、农业灌溉、生态景观、旅游观光等功能于一体的人工水系网，充分体现兴庆区滨河特色。对汉延渠、惠农渠、</w:t>
      </w:r>
      <w:r>
        <w:rPr>
          <w:rFonts w:ascii="Times New Roman" w:hAnsi="Times New Roman" w:cs="Times New Roman"/>
          <w:color w:val="000000"/>
          <w:sz w:val="32"/>
          <w:szCs w:val="32"/>
        </w:rPr>
        <w:t>大新渠、红花渠</w:t>
      </w:r>
      <w:r>
        <w:rPr>
          <w:rFonts w:ascii="Times New Roman" w:hAnsi="Times New Roman" w:cs="Times New Roman"/>
          <w:sz w:val="32"/>
          <w:szCs w:val="32"/>
        </w:rPr>
        <w:t>等渠系和永二干沟、银东干沟等排沟</w:t>
      </w:r>
      <w:r>
        <w:rPr>
          <w:rFonts w:ascii="Times New Roman" w:hAnsi="Times New Roman" w:cs="Times New Roman"/>
          <w:color w:val="000000"/>
          <w:sz w:val="32"/>
          <w:szCs w:val="32"/>
        </w:rPr>
        <w:t>进行专项治理和长效管理。</w:t>
      </w:r>
    </w:p>
    <w:p w14:paraId="3D17A627">
      <w:pPr>
        <w:spacing w:line="610" w:lineRule="exact"/>
        <w:ind w:firstLine="643"/>
        <w:rPr>
          <w:rFonts w:hint="eastAsia" w:ascii="仿宋_GB2312" w:hAnsi="Times New Roman" w:cs="Times New Roman"/>
          <w:b/>
          <w:sz w:val="32"/>
          <w:szCs w:val="32"/>
        </w:rPr>
      </w:pPr>
      <w:r>
        <w:rPr>
          <w:rFonts w:hint="eastAsia" w:ascii="仿宋_GB2312" w:hAnsi="Times New Roman" w:cs="Times New Roman"/>
          <w:b/>
          <w:sz w:val="32"/>
          <w:szCs w:val="32"/>
        </w:rPr>
        <w:t>推进“洁净兴庆”工程。</w:t>
      </w:r>
      <w:r>
        <w:rPr>
          <w:rFonts w:hint="eastAsia" w:ascii="仿宋_GB2312" w:hAnsi="Times New Roman" w:cs="Times New Roman"/>
          <w:sz w:val="32"/>
          <w:szCs w:val="32"/>
        </w:rPr>
        <w:t>全面防控城市扬尘污染、综合治理燃煤污染，全面加大大气污染防治力度，实现“</w:t>
      </w:r>
      <w:r>
        <w:rPr>
          <w:rFonts w:hint="eastAsia" w:ascii="仿宋_GB2312" w:hAnsi="Times New Roman" w:cs="Times New Roman"/>
          <w:bCs/>
          <w:sz w:val="32"/>
          <w:szCs w:val="32"/>
        </w:rPr>
        <w:t>蓝天工程”目标</w:t>
      </w:r>
      <w:r>
        <w:rPr>
          <w:rFonts w:hint="eastAsia" w:ascii="仿宋_GB2312" w:hAnsi="Times New Roman" w:cs="Times New Roman"/>
          <w:sz w:val="32"/>
          <w:szCs w:val="32"/>
        </w:rPr>
        <w:t>。</w:t>
      </w:r>
      <w:r>
        <w:rPr>
          <w:rFonts w:ascii="Times New Roman" w:hAnsi="Times New Roman" w:cs="Times New Roman"/>
          <w:sz w:val="32"/>
          <w:szCs w:val="32"/>
        </w:rPr>
        <w:t>推进</w:t>
      </w:r>
      <w:r>
        <w:rPr>
          <w:rFonts w:ascii="Times New Roman" w:hAnsi="Times New Roman" w:cs="Times New Roman"/>
          <w:kern w:val="0"/>
          <w:sz w:val="32"/>
          <w:szCs w:val="32"/>
        </w:rPr>
        <w:t>老旧小区、城中（边）村、拆迁空地、建筑工地、农贸市场环境卫生管理的常态化，</w:t>
      </w:r>
      <w:r>
        <w:rPr>
          <w:rFonts w:ascii="Times New Roman" w:hAnsi="Times New Roman" w:cs="Times New Roman"/>
          <w:color w:val="000000"/>
          <w:sz w:val="32"/>
          <w:szCs w:val="32"/>
        </w:rPr>
        <w:t>提升城市街道机械化清扫率，率先在农村社区推行环卫工作市场化运作模式。</w:t>
      </w:r>
      <w:r>
        <w:rPr>
          <w:rFonts w:hint="eastAsia" w:ascii="仿宋_GB2312" w:hAnsi="Times New Roman" w:cs="Times New Roman"/>
          <w:color w:val="000000"/>
          <w:kern w:val="0"/>
          <w:sz w:val="32"/>
          <w:szCs w:val="32"/>
        </w:rPr>
        <w:t>推行“厕所革命”，整治景区、公共场所及乡村厕所</w:t>
      </w:r>
      <w:r>
        <w:rPr>
          <w:rFonts w:hint="eastAsia" w:ascii="仿宋_GB2312" w:hAnsi="Times New Roman" w:cs="Times New Roman"/>
          <w:kern w:val="0"/>
          <w:sz w:val="32"/>
          <w:szCs w:val="32"/>
        </w:rPr>
        <w:t>卫生，建设星级厕所，提高管理水平。</w:t>
      </w:r>
    </w:p>
    <w:p w14:paraId="4958B68F">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napToGrid w:val="0"/>
          <w:kern w:val="0"/>
          <w:sz w:val="32"/>
          <w:szCs w:val="32"/>
        </w:rPr>
        <w:t>推动美丽乡村建设。</w:t>
      </w:r>
      <w:r>
        <w:rPr>
          <w:rFonts w:ascii="Times New Roman" w:hAnsi="Times New Roman" w:cs="Times New Roman"/>
          <w:snapToGrid w:val="0"/>
          <w:kern w:val="0"/>
          <w:sz w:val="32"/>
          <w:szCs w:val="32"/>
        </w:rPr>
        <w:t>加强</w:t>
      </w:r>
      <w:r>
        <w:rPr>
          <w:rFonts w:ascii="Times New Roman" w:hAnsi="Times New Roman" w:cs="Times New Roman"/>
          <w:sz w:val="32"/>
          <w:szCs w:val="32"/>
        </w:rPr>
        <w:t>城市新增街巷、道路配套绿化建设，提高城市绿化覆盖面积。加强城市绿化养护管理，提升城市园林绿化品位。精心规划建设城市小微公园，满足市民健身休闲的需求。</w:t>
      </w:r>
      <w:r>
        <w:rPr>
          <w:rFonts w:ascii="Times New Roman" w:hAnsi="Times New Roman" w:cs="Times New Roman"/>
          <w:snapToGrid w:val="0"/>
          <w:kern w:val="0"/>
          <w:sz w:val="32"/>
          <w:szCs w:val="32"/>
        </w:rPr>
        <w:t>全面实施农村庄点巷道硬化、道路亮化、村庄绿化、环境美化工程，大力开展生态文明村、绿色社区、美丽乡村创建活动，建成一批美丽乡村示范村和绿色社区示范区。</w:t>
      </w:r>
      <w:bookmarkEnd w:id="115"/>
      <w:bookmarkStart w:id="117" w:name="_Toc437344130"/>
      <w:bookmarkStart w:id="118" w:name="_Toc438133214"/>
    </w:p>
    <w:p w14:paraId="1C3BD9BD">
      <w:pPr>
        <w:pStyle w:val="3"/>
        <w:spacing w:before="312" w:beforeLines="100" w:after="156" w:afterLines="50" w:line="520" w:lineRule="exact"/>
        <w:ind w:firstLine="0" w:firstLineChars="0"/>
        <w:jc w:val="center"/>
        <w:rPr>
          <w:rFonts w:ascii="黑体" w:hAnsi="Times New Roman" w:eastAsia="黑体" w:cs="Times New Roman"/>
          <w:b w:val="0"/>
        </w:rPr>
      </w:pPr>
      <w:bookmarkStart w:id="119" w:name="_Toc439358330"/>
      <w:r>
        <w:rPr>
          <w:rFonts w:ascii="黑体" w:hAnsi="Times New Roman" w:eastAsia="黑体" w:cs="Times New Roman"/>
          <w:b w:val="0"/>
        </w:rPr>
        <w:t>第四节  深化精准脱贫攻坚</w:t>
      </w:r>
      <w:bookmarkEnd w:id="119"/>
    </w:p>
    <w:p w14:paraId="7B84A791">
      <w:pPr>
        <w:widowControl/>
        <w:spacing w:line="610" w:lineRule="exact"/>
        <w:ind w:firstLine="640"/>
        <w:rPr>
          <w:rFonts w:ascii="Times New Roman" w:hAnsi="Times New Roman" w:cs="Times New Roman"/>
          <w:color w:val="000000"/>
          <w:sz w:val="32"/>
          <w:szCs w:val="32"/>
          <w:shd w:val="clear" w:color="auto" w:fill="FFFFFF"/>
        </w:rPr>
      </w:pPr>
      <w:r>
        <w:rPr>
          <w:rFonts w:ascii="Times New Roman" w:hAnsi="Times New Roman" w:cs="Times New Roman"/>
          <w:color w:val="000000"/>
          <w:sz w:val="32"/>
          <w:szCs w:val="32"/>
          <w:shd w:val="clear" w:color="auto" w:fill="FFFFFF"/>
        </w:rPr>
        <w:t>全面贯彻落实党中央、国务院和自治区的扶贫开发工作会议决策部署，实施2050户8200人的易地扶贫搬迁任务，确保兴庆区贫困人口全面脱贫。坚持与新型城镇化相结合，加大实施精准扶贫、教育脱贫力度，创新投融资模式和组织方式，完善移民致富产业扶持政策，努力做到搬得出、稳得住、有事做、能致富，确保搬迁对象尽快脱贫，从根本上解决生计问题。</w:t>
      </w:r>
    </w:p>
    <w:p w14:paraId="69B0B57E">
      <w:pPr>
        <w:widowControl/>
        <w:spacing w:line="610" w:lineRule="exact"/>
        <w:ind w:firstLine="643"/>
        <w:rPr>
          <w:rFonts w:hint="eastAsia" w:ascii="仿宋_GB2312" w:hAnsi="Times New Roman" w:cs="Times New Roman"/>
          <w:color w:val="000000"/>
          <w:sz w:val="32"/>
          <w:szCs w:val="32"/>
          <w:shd w:val="clear" w:color="auto" w:fill="FFFFFF"/>
        </w:rPr>
      </w:pPr>
      <w:r>
        <w:rPr>
          <w:rFonts w:ascii="Times New Roman" w:hAnsi="Times New Roman" w:cs="Times New Roman"/>
          <w:b/>
          <w:color w:val="000000"/>
          <w:sz w:val="32"/>
          <w:szCs w:val="32"/>
          <w:shd w:val="clear" w:color="auto" w:fill="FFFFFF"/>
        </w:rPr>
        <w:t>产业发展推进脱贫。</w:t>
      </w:r>
      <w:r>
        <w:rPr>
          <w:rFonts w:hint="eastAsia" w:ascii="仿宋_GB2312" w:hAnsi="Times New Roman" w:cs="Times New Roman"/>
          <w:color w:val="000000"/>
          <w:sz w:val="32"/>
          <w:szCs w:val="32"/>
          <w:shd w:val="clear" w:color="auto" w:fill="FFFFFF"/>
        </w:rPr>
        <w:t>针对“十二五”时期的月牙湖乡生态移民和“十三五”劳务移民、通贵乡的贫困群众，围绕劳务输出、肉兔养殖、红树莓种植、鲜切花种植、牛羊养殖等特色种养殖业，通过成立劳务输出协会、种养殖合作社等组织，有序形成“一乡一业”、“一村一品”的产业分工，建立精准扶贫——脱贫机制，促进贫困群众增收致富。</w:t>
      </w:r>
    </w:p>
    <w:p w14:paraId="59D74F2E">
      <w:pPr>
        <w:widowControl/>
        <w:spacing w:line="610" w:lineRule="exact"/>
        <w:ind w:firstLine="643"/>
        <w:rPr>
          <w:rFonts w:ascii="Times New Roman" w:hAnsi="Times New Roman" w:cs="Times New Roman"/>
          <w:color w:val="000000"/>
          <w:sz w:val="32"/>
          <w:szCs w:val="32"/>
          <w:shd w:val="clear" w:color="auto" w:fill="FFFFFF"/>
        </w:rPr>
      </w:pPr>
      <w:r>
        <w:rPr>
          <w:rFonts w:hint="eastAsia" w:ascii="仿宋_GB2312" w:hAnsi="Times New Roman" w:cs="Times New Roman"/>
          <w:b/>
          <w:color w:val="000000"/>
          <w:sz w:val="32"/>
          <w:szCs w:val="32"/>
          <w:shd w:val="clear" w:color="auto" w:fill="FFFFFF"/>
        </w:rPr>
        <w:t>教育脱贫补短板。</w:t>
      </w:r>
      <w:r>
        <w:rPr>
          <w:rFonts w:hint="eastAsia" w:ascii="仿宋_GB2312" w:hAnsi="Times New Roman" w:cs="Times New Roman"/>
          <w:color w:val="000000"/>
          <w:sz w:val="32"/>
          <w:szCs w:val="32"/>
          <w:shd w:val="clear" w:color="auto" w:fill="FFFFFF"/>
        </w:rPr>
        <w:t>“要脱贫、先扶智（志、质）”，加大贫</w:t>
      </w:r>
      <w:r>
        <w:rPr>
          <w:rFonts w:ascii="Times New Roman" w:hAnsi="Times New Roman" w:cs="Times New Roman"/>
          <w:color w:val="000000"/>
          <w:sz w:val="32"/>
          <w:szCs w:val="32"/>
          <w:shd w:val="clear" w:color="auto" w:fill="FFFFFF"/>
        </w:rPr>
        <w:t>困人口专业技术培训扶持力度，重点培训种养殖、初级技工技能、家政服务、餐饮等农业、加工业、服务业工作技能；积极推广订单式培训，开展政府引导的校企联动扶贫攻坚。鼓励贫困家庭子女中的两后生（初中毕业后未升入高中、高中毕业后未考入大学）进入职业学校接受职业教育。</w:t>
      </w:r>
    </w:p>
    <w:p w14:paraId="65CA5C8E">
      <w:pPr>
        <w:widowControl/>
        <w:spacing w:line="610" w:lineRule="exact"/>
        <w:ind w:firstLine="643"/>
        <w:rPr>
          <w:rFonts w:hint="eastAsia" w:ascii="仿宋_GB2312" w:hAnsi="Times New Roman" w:cs="Times New Roman"/>
          <w:color w:val="000000"/>
          <w:sz w:val="32"/>
          <w:szCs w:val="32"/>
          <w:shd w:val="clear" w:color="auto" w:fill="FFFFFF"/>
        </w:rPr>
      </w:pPr>
      <w:r>
        <w:rPr>
          <w:rFonts w:ascii="Times New Roman" w:hAnsi="Times New Roman" w:cs="Times New Roman"/>
          <w:b/>
          <w:color w:val="000000"/>
          <w:sz w:val="32"/>
          <w:szCs w:val="32"/>
          <w:shd w:val="clear" w:color="auto" w:fill="FFFFFF"/>
        </w:rPr>
        <w:t>金扶工程助力脱贫。</w:t>
      </w:r>
      <w:r>
        <w:rPr>
          <w:rFonts w:ascii="Times New Roman" w:hAnsi="Times New Roman" w:cs="Times New Roman"/>
          <w:color w:val="000000"/>
          <w:sz w:val="32"/>
          <w:szCs w:val="32"/>
          <w:shd w:val="clear" w:color="auto" w:fill="FFFFFF"/>
        </w:rPr>
        <w:t>实行普惠加特惠的金融扶持政策，依托区、市建立的扶贫脱贫专项基金，引导和鼓励金融机构到贫困地区增设分支机构，加大互助资金投入，探索建成以信用为</w:t>
      </w:r>
      <w:r>
        <w:rPr>
          <w:rFonts w:hint="eastAsia" w:ascii="仿宋_GB2312" w:hAnsi="Times New Roman" w:cs="Times New Roman"/>
          <w:color w:val="000000"/>
          <w:sz w:val="32"/>
          <w:szCs w:val="32"/>
          <w:shd w:val="clear" w:color="auto" w:fill="FFFFFF"/>
        </w:rPr>
        <w:t>主要评价指标的“金扶工程”评级授信体系，促进“千村信贷”有序健康发展。</w:t>
      </w:r>
    </w:p>
    <w:p w14:paraId="378884E1">
      <w:pPr>
        <w:widowControl/>
        <w:spacing w:after="156" w:afterLines="50" w:line="610" w:lineRule="exact"/>
        <w:ind w:firstLine="643"/>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t>社会保障兜底脱贫。</w:t>
      </w:r>
      <w:r>
        <w:rPr>
          <w:rFonts w:ascii="Times New Roman" w:hAnsi="Times New Roman" w:cs="Times New Roman"/>
          <w:bCs/>
          <w:color w:val="000000"/>
          <w:sz w:val="32"/>
          <w:szCs w:val="32"/>
          <w:shd w:val="clear" w:color="auto" w:fill="FFFFFF"/>
        </w:rPr>
        <w:t>低保、医保、社会救助等政策优先向建档立卡贫困户倾斜，解决贫困户创业就业的后顾之忧。将城乡丧失劳动能力、无法通过产业扶持和就业帮助实现脱贫的贫困人口按条件纳入最低生活保障，做到应保尽保，不出底线。</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1986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7EE8BBAD">
            <w:pPr>
              <w:pStyle w:val="4"/>
              <w:spacing w:line="240" w:lineRule="auto"/>
              <w:ind w:firstLine="0" w:firstLineChars="0"/>
              <w:jc w:val="center"/>
              <w:rPr>
                <w:rFonts w:hint="eastAsia" w:ascii="仿宋_GB2312" w:hAnsi="Times New Roman" w:eastAsia="仿宋_GB2312" w:cs="Times New Roman"/>
                <w:b/>
                <w:sz w:val="24"/>
                <w:szCs w:val="24"/>
              </w:rPr>
            </w:pPr>
            <w:bookmarkStart w:id="120" w:name="_Toc441134513"/>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12</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兴庆区城乡统筹重大项目</w:t>
            </w:r>
            <w:bookmarkEnd w:id="120"/>
          </w:p>
        </w:tc>
      </w:tr>
      <w:tr w14:paraId="4FBBF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230F0FFC">
            <w:pPr>
              <w:spacing w:line="240" w:lineRule="auto"/>
              <w:ind w:firstLine="480"/>
              <w:rPr>
                <w:rFonts w:ascii="Times New Roman" w:hAnsi="Times New Roman" w:cs="Times New Roman"/>
                <w:sz w:val="24"/>
                <w:szCs w:val="24"/>
              </w:rPr>
            </w:pPr>
            <w:r>
              <w:rPr>
                <w:rFonts w:ascii="Times New Roman" w:hAnsi="Times New Roman" w:cs="Times New Roman"/>
                <w:sz w:val="24"/>
                <w:szCs w:val="24"/>
              </w:rPr>
              <w:t>（1）兴庆区沟道清淤工程。辖区内20条支斗沟进行清淤，总长120公里，对个别段落防塌治理，配套相应建筑物207座。对月牙湖地区排水体系进行改造，清淤5条泄洪沟道，长度25公里，治理2条泄洪沟道，长8公里。</w:t>
            </w:r>
          </w:p>
          <w:p w14:paraId="635EE492">
            <w:pPr>
              <w:spacing w:line="240" w:lineRule="auto"/>
              <w:ind w:firstLine="480"/>
              <w:rPr>
                <w:rFonts w:ascii="Times New Roman" w:hAnsi="Times New Roman" w:cs="Times New Roman"/>
                <w:sz w:val="24"/>
                <w:szCs w:val="24"/>
              </w:rPr>
            </w:pPr>
            <w:r>
              <w:rPr>
                <w:rFonts w:ascii="Times New Roman" w:hAnsi="Times New Roman" w:cs="Times New Roman"/>
                <w:sz w:val="24"/>
                <w:szCs w:val="24"/>
              </w:rPr>
              <w:t>（2）兴庆区东部水系生态建设工程。1、将兴庆区东部掌政镇、通贵乡、大新镇水系进行连通；2、完善配套道路基础设施；3、完善水系周边绿化工程。项目实施后将兴庆区东部农家乐、花家乐、渔家乐进行连通，进一步提升兴庆区东部旅游品质，推动当地住宿、餐饮等产业发展，增加农民收入。</w:t>
            </w:r>
          </w:p>
          <w:p w14:paraId="352933E4">
            <w:pPr>
              <w:spacing w:line="240" w:lineRule="auto"/>
              <w:ind w:firstLine="480"/>
              <w:rPr>
                <w:rFonts w:ascii="Times New Roman" w:hAnsi="Times New Roman" w:cs="Times New Roman"/>
                <w:sz w:val="24"/>
                <w:szCs w:val="24"/>
              </w:rPr>
            </w:pPr>
            <w:r>
              <w:rPr>
                <w:rFonts w:ascii="Times New Roman" w:hAnsi="Times New Roman" w:cs="Times New Roman"/>
                <w:sz w:val="24"/>
                <w:szCs w:val="24"/>
              </w:rPr>
              <w:t>（3）兴庆区农村公路。新建、改建农村公路120公里。</w:t>
            </w:r>
          </w:p>
          <w:p w14:paraId="631282F9">
            <w:pPr>
              <w:spacing w:line="240" w:lineRule="auto"/>
              <w:ind w:firstLine="480"/>
              <w:rPr>
                <w:rFonts w:ascii="Times New Roman" w:hAnsi="Times New Roman" w:cs="Times New Roman"/>
                <w:sz w:val="24"/>
                <w:szCs w:val="24"/>
              </w:rPr>
            </w:pPr>
            <w:r>
              <w:rPr>
                <w:rFonts w:ascii="Times New Roman" w:hAnsi="Times New Roman" w:cs="Times New Roman"/>
                <w:sz w:val="24"/>
                <w:szCs w:val="24"/>
              </w:rPr>
              <w:t>（4）兴庆区美丽乡村基础设施建设。重点实施巷道路硬化、人行道硬化、广场硬化、巷道排水、外立面改造和路灯亮化等工程。</w:t>
            </w:r>
          </w:p>
          <w:p w14:paraId="4EE86934">
            <w:pPr>
              <w:spacing w:line="240" w:lineRule="auto"/>
              <w:ind w:firstLine="480"/>
              <w:rPr>
                <w:rFonts w:ascii="Times New Roman" w:hAnsi="Times New Roman" w:cs="Times New Roman"/>
                <w:sz w:val="24"/>
                <w:szCs w:val="24"/>
              </w:rPr>
            </w:pPr>
            <w:r>
              <w:rPr>
                <w:rFonts w:ascii="Times New Roman" w:hAnsi="Times New Roman" w:cs="Times New Roman"/>
                <w:sz w:val="24"/>
                <w:szCs w:val="24"/>
              </w:rPr>
              <w:t>（5）兴庆区老旧小区改造。约300万平米，改造下水管、屋顶漏雨、小区照明系统、小区安防系统、路面硬化、维修自行车棚、更换单元防盗门、垃圾箱等。</w:t>
            </w:r>
          </w:p>
          <w:p w14:paraId="6C8F93AF">
            <w:pPr>
              <w:keepNext/>
              <w:spacing w:line="240" w:lineRule="auto"/>
              <w:ind w:firstLine="480"/>
              <w:rPr>
                <w:rFonts w:ascii="Times New Roman" w:hAnsi="Times New Roman" w:cs="Times New Roman"/>
                <w:sz w:val="24"/>
                <w:szCs w:val="24"/>
              </w:rPr>
            </w:pPr>
            <w:r>
              <w:rPr>
                <w:rFonts w:ascii="Times New Roman" w:hAnsi="Times New Roman" w:cs="Times New Roman"/>
                <w:sz w:val="24"/>
                <w:szCs w:val="24"/>
              </w:rPr>
              <w:t>（6）通贵乡小城镇建设。重点建设安置区、市政道路、水系、景观绿化等项目。</w:t>
            </w:r>
          </w:p>
        </w:tc>
      </w:tr>
      <w:bookmarkEnd w:id="117"/>
      <w:bookmarkEnd w:id="118"/>
    </w:tbl>
    <w:p w14:paraId="26614917">
      <w:pPr>
        <w:pStyle w:val="2"/>
        <w:spacing w:before="0" w:beforeLines="0" w:after="0" w:afterLines="0" w:line="240" w:lineRule="exact"/>
        <w:ind w:firstLine="0" w:firstLineChars="0"/>
        <w:jc w:val="center"/>
        <w:rPr>
          <w:rFonts w:hint="eastAsia" w:ascii="Times New Roman" w:hAnsi="Times New Roman" w:cs="Times New Roman"/>
        </w:rPr>
      </w:pPr>
      <w:bookmarkStart w:id="121" w:name="_Toc439358331"/>
      <w:bookmarkStart w:id="122" w:name="_Toc437344151"/>
      <w:bookmarkStart w:id="123" w:name="_Toc438133219"/>
      <w:r>
        <w:rPr>
          <w:rFonts w:ascii="Times New Roman" w:hAnsi="Times New Roman" w:cs="Times New Roman"/>
        </w:rPr>
        <w:br w:type="page"/>
      </w:r>
    </w:p>
    <w:p w14:paraId="7EED0146">
      <w:pPr>
        <w:pStyle w:val="2"/>
        <w:spacing w:before="156" w:beforeLines="50" w:after="0" w:afterLines="0" w:line="520" w:lineRule="exact"/>
        <w:ind w:firstLine="0" w:firstLineChars="0"/>
        <w:jc w:val="center"/>
        <w:rPr>
          <w:rFonts w:eastAsia="方正小标宋_GBK"/>
          <w:b w:val="0"/>
        </w:rPr>
      </w:pPr>
      <w:r>
        <w:rPr>
          <w:rFonts w:eastAsia="方正小标宋_GBK"/>
          <w:b w:val="0"/>
        </w:rPr>
        <w:t>第七章  共建共享，构筑美好和谐社会</w:t>
      </w:r>
      <w:bookmarkEnd w:id="121"/>
    </w:p>
    <w:p w14:paraId="0586858D">
      <w:pPr>
        <w:spacing w:before="312" w:beforeLines="100" w:line="610" w:lineRule="exact"/>
        <w:ind w:firstLine="640"/>
        <w:rPr>
          <w:rFonts w:ascii="Times New Roman" w:hAnsi="Times New Roman" w:cs="Times New Roman"/>
          <w:sz w:val="32"/>
          <w:szCs w:val="32"/>
        </w:rPr>
      </w:pPr>
      <w:r>
        <w:rPr>
          <w:rFonts w:ascii="Times New Roman" w:hAnsi="Times New Roman" w:cs="Times New Roman"/>
          <w:sz w:val="32"/>
          <w:szCs w:val="32"/>
        </w:rPr>
        <w:t>以共享美好生活为主线，全面推进教育、卫生、文化体育等社会事业发展，着力保障就业、住房、养老等高水平民生，创新社会管理，实现教育在兴庆，医疗在兴庆，文化在兴庆，就业在兴庆。</w:t>
      </w:r>
    </w:p>
    <w:p w14:paraId="201E362B">
      <w:pPr>
        <w:pStyle w:val="3"/>
        <w:spacing w:before="312" w:beforeLines="100" w:after="156" w:afterLines="50" w:line="520" w:lineRule="exact"/>
        <w:ind w:firstLine="0" w:firstLineChars="0"/>
        <w:jc w:val="center"/>
        <w:rPr>
          <w:rFonts w:ascii="黑体" w:hAnsi="Times New Roman" w:eastAsia="黑体" w:cs="Times New Roman"/>
          <w:b w:val="0"/>
        </w:rPr>
      </w:pPr>
      <w:bookmarkStart w:id="124" w:name="_Toc428273444"/>
      <w:bookmarkStart w:id="125" w:name="_Toc428053247"/>
      <w:bookmarkStart w:id="126" w:name="_Toc437344112"/>
      <w:bookmarkStart w:id="127" w:name="_Toc439358332"/>
      <w:r>
        <w:rPr>
          <w:rFonts w:ascii="黑体" w:hAnsi="Times New Roman" w:eastAsia="黑体" w:cs="Times New Roman"/>
          <w:b w:val="0"/>
        </w:rPr>
        <w:t>第一节  推进</w:t>
      </w:r>
      <w:bookmarkEnd w:id="124"/>
      <w:bookmarkEnd w:id="125"/>
      <w:bookmarkEnd w:id="126"/>
      <w:r>
        <w:rPr>
          <w:rFonts w:ascii="黑体" w:hAnsi="Times New Roman" w:eastAsia="黑体" w:cs="Times New Roman"/>
          <w:b w:val="0"/>
        </w:rPr>
        <w:t>教育现代化</w:t>
      </w:r>
      <w:bookmarkEnd w:id="127"/>
    </w:p>
    <w:p w14:paraId="26B4BD1F">
      <w:pPr>
        <w:spacing w:line="610" w:lineRule="exact"/>
        <w:ind w:firstLine="643"/>
        <w:rPr>
          <w:rFonts w:hint="eastAsia" w:ascii="仿宋_GB2312" w:hAnsi="Times New Roman" w:cs="Times New Roman"/>
          <w:color w:val="0C0C0C"/>
          <w:sz w:val="32"/>
          <w:szCs w:val="32"/>
        </w:rPr>
      </w:pPr>
      <w:r>
        <w:rPr>
          <w:rFonts w:hint="eastAsia" w:ascii="仿宋_GB2312" w:hAnsi="Times New Roman" w:cs="Times New Roman"/>
          <w:b/>
          <w:sz w:val="32"/>
          <w:szCs w:val="32"/>
        </w:rPr>
        <w:t>构建现代教育体系。</w:t>
      </w:r>
      <w:r>
        <w:rPr>
          <w:rFonts w:hint="eastAsia" w:ascii="仿宋_GB2312" w:hAnsi="Times New Roman" w:cs="Times New Roman"/>
          <w:sz w:val="32"/>
          <w:szCs w:val="32"/>
        </w:rPr>
        <w:t>扩大学前公共教育资源，加大公办幼儿园投入力度，“十三五”末公办园数量比“十二五”翻一番，鼓励民办幼儿园建设，满足新的人口形势；建立民办幼儿园优质师</w:t>
      </w:r>
      <w:r>
        <w:rPr>
          <w:rFonts w:ascii="Times New Roman" w:hAnsi="Times New Roman" w:cs="Times New Roman"/>
          <w:sz w:val="32"/>
          <w:szCs w:val="32"/>
        </w:rPr>
        <w:t>资补充机制，加大管理力度，提高学前教育整体水平。实施义务教育学校的新建和改扩建工程，增加义务教育的学位，提高教育公共服务的供给能力。继续扩大优质教育资源规模，</w:t>
      </w:r>
      <w:r>
        <w:rPr>
          <w:rFonts w:ascii="Times New Roman" w:hAnsi="Times New Roman" w:cs="Times New Roman"/>
          <w:kern w:val="0"/>
          <w:sz w:val="32"/>
          <w:szCs w:val="32"/>
        </w:rPr>
        <w:t>创新办学模式，加强城乡学校交流合作，构建硬件共享、师资互补的良性教育循环机制，</w:t>
      </w:r>
      <w:r>
        <w:rPr>
          <w:rFonts w:ascii="Times New Roman" w:hAnsi="Times New Roman" w:cs="Times New Roman"/>
          <w:sz w:val="32"/>
          <w:szCs w:val="32"/>
        </w:rPr>
        <w:t>推进义务教育优质均衡发展。</w:t>
      </w:r>
      <w:r>
        <w:rPr>
          <w:rFonts w:ascii="Times New Roman" w:hAnsi="Times New Roman" w:cs="Times New Roman"/>
          <w:color w:val="0C0C0C"/>
          <w:sz w:val="32"/>
          <w:szCs w:val="32"/>
        </w:rPr>
        <w:t>加快发展继续教育，建设兴庆区职业技能培训基地，重点开展技能培训、创业培训、拓展培训等。加强社区教育建设，着眼于社区居民的多元化实际需求，发挥社区教育优势，打造不同的社区教育平台，探讨社区与学校假期联合互动的教育方法，摸索</w:t>
      </w:r>
      <w:r>
        <w:rPr>
          <w:rFonts w:hint="eastAsia" w:ascii="仿宋_GB2312" w:hAnsi="Times New Roman" w:cs="Times New Roman"/>
          <w:color w:val="0C0C0C"/>
          <w:sz w:val="32"/>
          <w:szCs w:val="32"/>
        </w:rPr>
        <w:t>社区“全民教育，终身教育”的实践模式，构建社区教育和继续教育长效机制。</w:t>
      </w:r>
    </w:p>
    <w:p w14:paraId="4CC9832B">
      <w:pPr>
        <w:spacing w:line="610" w:lineRule="exact"/>
        <w:ind w:firstLine="643"/>
        <w:rPr>
          <w:rFonts w:ascii="Times New Roman" w:hAnsi="Times New Roman" w:cs="Times New Roman"/>
          <w:b/>
          <w:sz w:val="32"/>
          <w:szCs w:val="32"/>
        </w:rPr>
      </w:pPr>
      <w:r>
        <w:rPr>
          <w:rFonts w:ascii="Times New Roman" w:hAnsi="Times New Roman" w:cs="Times New Roman"/>
          <w:b/>
          <w:color w:val="0C0C0C"/>
          <w:sz w:val="32"/>
          <w:szCs w:val="32"/>
        </w:rPr>
        <w:t>推进智慧教育建设</w:t>
      </w:r>
      <w:r>
        <w:rPr>
          <w:rFonts w:ascii="Times New Roman" w:hAnsi="Times New Roman" w:cs="Times New Roman"/>
          <w:b/>
          <w:sz w:val="32"/>
          <w:szCs w:val="32"/>
        </w:rPr>
        <w:t>。</w:t>
      </w:r>
      <w:r>
        <w:rPr>
          <w:rFonts w:ascii="Times New Roman" w:hAnsi="Times New Roman" w:cs="Times New Roman"/>
          <w:kern w:val="0"/>
          <w:sz w:val="32"/>
          <w:szCs w:val="32"/>
        </w:rPr>
        <w:t>建设覆盖全区的教育网络信息平台，</w:t>
      </w:r>
      <w:r>
        <w:rPr>
          <w:rFonts w:ascii="Times New Roman" w:hAnsi="Times New Roman" w:cs="Times New Roman"/>
          <w:color w:val="0C0C0C"/>
          <w:kern w:val="0"/>
          <w:sz w:val="32"/>
          <w:szCs w:val="32"/>
        </w:rPr>
        <w:t>搭建</w:t>
      </w:r>
      <w:r>
        <w:rPr>
          <w:rFonts w:ascii="Times New Roman" w:hAnsi="Times New Roman" w:cs="Times New Roman"/>
          <w:color w:val="0C0C0C"/>
          <w:sz w:val="32"/>
          <w:szCs w:val="32"/>
        </w:rPr>
        <w:t>名师讲堂、远程教学、试题库等</w:t>
      </w:r>
      <w:r>
        <w:rPr>
          <w:rFonts w:ascii="Times New Roman" w:hAnsi="Times New Roman" w:cs="Times New Roman"/>
          <w:kern w:val="0"/>
          <w:sz w:val="32"/>
          <w:szCs w:val="32"/>
        </w:rPr>
        <w:t>教育教学资源共建共享平台，推进教育</w:t>
      </w:r>
      <w:r>
        <w:rPr>
          <w:rFonts w:ascii="Times New Roman" w:hAnsi="Times New Roman" w:cs="Times New Roman"/>
          <w:color w:val="0C0C0C"/>
          <w:kern w:val="0"/>
          <w:sz w:val="32"/>
          <w:szCs w:val="32"/>
        </w:rPr>
        <w:t>信息化建设</w:t>
      </w:r>
      <w:r>
        <w:rPr>
          <w:rFonts w:ascii="Times New Roman" w:hAnsi="Times New Roman" w:cs="Times New Roman"/>
          <w:kern w:val="0"/>
          <w:sz w:val="32"/>
          <w:szCs w:val="32"/>
        </w:rPr>
        <w:t>，带动教育现代化发展。</w:t>
      </w:r>
      <w:r>
        <w:rPr>
          <w:rFonts w:ascii="Times New Roman" w:hAnsi="Times New Roman" w:cs="Times New Roman"/>
          <w:color w:val="0C0C0C"/>
          <w:kern w:val="0"/>
          <w:sz w:val="32"/>
          <w:szCs w:val="32"/>
        </w:rPr>
        <w:t>大力开发和积极引进优质数字化资源，建设覆盖城乡的智慧教室、校园安防管理系统和数字图书馆系统，进一步完成中小学学校无线WIFI无死角覆盖，创建自治区教育信息化示范区。</w:t>
      </w:r>
    </w:p>
    <w:p w14:paraId="4A08CBE7">
      <w:pPr>
        <w:spacing w:line="610" w:lineRule="exact"/>
        <w:ind w:firstLine="643"/>
        <w:rPr>
          <w:rFonts w:hint="eastAsia" w:ascii="仿宋_GB2312" w:hAnsi="Times New Roman" w:cs="Times New Roman"/>
          <w:b/>
          <w:color w:val="0C0C0C"/>
          <w:sz w:val="32"/>
          <w:szCs w:val="32"/>
        </w:rPr>
      </w:pPr>
      <w:r>
        <w:rPr>
          <w:rFonts w:ascii="Times New Roman" w:hAnsi="Times New Roman" w:cs="Times New Roman"/>
          <w:b/>
          <w:color w:val="0C0C0C"/>
          <w:sz w:val="32"/>
          <w:szCs w:val="32"/>
        </w:rPr>
        <w:t>提高现代教育质量。</w:t>
      </w:r>
      <w:r>
        <w:rPr>
          <w:rFonts w:ascii="Times New Roman" w:hAnsi="Times New Roman" w:cs="Times New Roman"/>
          <w:sz w:val="32"/>
          <w:szCs w:val="32"/>
          <w:lang w:val="zh-CN"/>
        </w:rPr>
        <w:t>坚持促进学生</w:t>
      </w:r>
      <w:r>
        <w:rPr>
          <w:rFonts w:ascii="Times New Roman" w:hAnsi="Times New Roman" w:cs="Times New Roman"/>
          <w:sz w:val="32"/>
          <w:szCs w:val="32"/>
        </w:rPr>
        <w:t>德智体美全面发展和个性成长，</w:t>
      </w:r>
      <w:r>
        <w:rPr>
          <w:rFonts w:ascii="Times New Roman" w:hAnsi="Times New Roman" w:cs="Times New Roman"/>
          <w:kern w:val="0"/>
          <w:sz w:val="32"/>
          <w:szCs w:val="32"/>
        </w:rPr>
        <w:t>建设学生综合活动实践基地，</w:t>
      </w:r>
      <w:r>
        <w:rPr>
          <w:rFonts w:ascii="Times New Roman" w:hAnsi="Times New Roman" w:cs="Times New Roman"/>
          <w:sz w:val="32"/>
          <w:szCs w:val="32"/>
        </w:rPr>
        <w:t>实施青少年创新人才培育计划，增强创新精神和实践能力。加强心理健康和体育教育，</w:t>
      </w:r>
      <w:r>
        <w:rPr>
          <w:rFonts w:hint="eastAsia" w:ascii="仿宋_GB2312" w:hAnsi="Times New Roman" w:cs="Times New Roman"/>
          <w:sz w:val="32"/>
          <w:szCs w:val="32"/>
        </w:rPr>
        <w:t>提高学生整体素质。探索建设“互联网+”时代自主创新学习实验</w:t>
      </w:r>
      <w:r>
        <w:rPr>
          <w:rFonts w:ascii="Times New Roman" w:hAnsi="Times New Roman" w:cs="Times New Roman"/>
          <w:sz w:val="32"/>
          <w:szCs w:val="32"/>
        </w:rPr>
        <w:t>室，以信息技术引领学生学习方式的深度变革。未来五年，用两年时间实现教育优质均衡发展，三年时间实现教育现代化，推进兴庆区教育由优质均衡向现代化发展，力争率先在自治区</w:t>
      </w:r>
      <w:r>
        <w:rPr>
          <w:rFonts w:hint="eastAsia" w:ascii="仿宋_GB2312" w:hAnsi="Times New Roman" w:cs="Times New Roman"/>
          <w:sz w:val="32"/>
          <w:szCs w:val="32"/>
        </w:rPr>
        <w:t>实现“教育现代化”。</w:t>
      </w:r>
    </w:p>
    <w:p w14:paraId="5FBAEA03">
      <w:pPr>
        <w:pStyle w:val="3"/>
        <w:spacing w:before="312" w:beforeLines="100" w:after="156" w:afterLines="50" w:line="520" w:lineRule="exact"/>
        <w:ind w:firstLine="0" w:firstLineChars="0"/>
        <w:jc w:val="center"/>
        <w:rPr>
          <w:rFonts w:hint="eastAsia" w:ascii="黑体" w:hAnsi="Times New Roman" w:eastAsia="黑体" w:cs="Times New Roman"/>
          <w:b w:val="0"/>
        </w:rPr>
      </w:pPr>
      <w:bookmarkStart w:id="128" w:name="_Toc428053248"/>
      <w:bookmarkStart w:id="129" w:name="_Toc428273445"/>
      <w:bookmarkStart w:id="130" w:name="_Toc437344113"/>
      <w:bookmarkStart w:id="131" w:name="_Toc439358333"/>
      <w:r>
        <w:rPr>
          <w:rFonts w:hint="eastAsia" w:ascii="黑体" w:hAnsi="Times New Roman" w:eastAsia="黑体" w:cs="Times New Roman"/>
          <w:b w:val="0"/>
        </w:rPr>
        <w:t xml:space="preserve">第二节 </w:t>
      </w:r>
      <w:bookmarkEnd w:id="128"/>
      <w:bookmarkEnd w:id="129"/>
      <w:bookmarkEnd w:id="130"/>
      <w:r>
        <w:rPr>
          <w:rFonts w:hint="eastAsia" w:ascii="黑体" w:hAnsi="Times New Roman" w:eastAsia="黑体" w:cs="Times New Roman"/>
          <w:b w:val="0"/>
        </w:rPr>
        <w:t xml:space="preserve"> 推进“健康兴庆”建设</w:t>
      </w:r>
      <w:bookmarkEnd w:id="131"/>
    </w:p>
    <w:p w14:paraId="38BC88B8">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提高医疗卫生服务水平。</w:t>
      </w:r>
      <w:r>
        <w:rPr>
          <w:rFonts w:ascii="Times New Roman" w:hAnsi="Times New Roman" w:cs="Times New Roman"/>
          <w:sz w:val="32"/>
          <w:szCs w:val="32"/>
        </w:rPr>
        <w:t>强化医疗卫生基础设施建设，合理分布医疗卫生资源，新建兴庆区人民医院、康复理疗中心、8个社区卫生服务中心和60个社区卫生服务站，巩固</w:t>
      </w:r>
      <w:r>
        <w:rPr>
          <w:rFonts w:ascii="Times New Roman" w:hAnsi="Times New Roman" w:cs="Times New Roman"/>
          <w:color w:val="000000"/>
          <w:sz w:val="32"/>
          <w:szCs w:val="32"/>
        </w:rPr>
        <w:t>15分钟医疗卫生服务圈。进一步深化医药卫生体制改革，引进优质医疗资源，探索乡镇卫生院和卫生服务中心与大医院</w:t>
      </w:r>
      <w:r>
        <w:rPr>
          <w:rFonts w:hint="eastAsia" w:ascii="仿宋_GB2312" w:hAnsi="Times New Roman" w:cs="Times New Roman"/>
          <w:color w:val="000000"/>
          <w:sz w:val="32"/>
          <w:szCs w:val="32"/>
        </w:rPr>
        <w:t>合作托管模式，提高服务质量，解决农民“看病难、看病贵”的问题。扩大中医药发展，“十三五”末所有的中心、站、卫生</w:t>
      </w:r>
      <w:r>
        <w:rPr>
          <w:rFonts w:ascii="Times New Roman" w:hAnsi="Times New Roman" w:cs="Times New Roman"/>
          <w:color w:val="000000"/>
          <w:sz w:val="32"/>
          <w:szCs w:val="32"/>
        </w:rPr>
        <w:t>院和村卫生室全部开展</w:t>
      </w:r>
      <w:r>
        <w:rPr>
          <w:rFonts w:ascii="Times New Roman" w:hAnsi="Times New Roman" w:cs="Times New Roman"/>
          <w:sz w:val="32"/>
          <w:szCs w:val="32"/>
        </w:rPr>
        <w:t>中医药服务。依托自治区和银川市现有的优质卫生资源，逐步做大中医药养生、医疗保健、康复护理、健康体检、心理健康等非基本医疗服务，打造西北优质医疗集聚区。</w:t>
      </w:r>
    </w:p>
    <w:p w14:paraId="54E736DE">
      <w:pPr>
        <w:adjustRightInd w:val="0"/>
        <w:snapToGrid w:val="0"/>
        <w:spacing w:line="610" w:lineRule="exact"/>
        <w:ind w:firstLine="643"/>
        <w:rPr>
          <w:rFonts w:ascii="Times New Roman" w:hAnsi="Times New Roman" w:cs="Times New Roman"/>
          <w:sz w:val="32"/>
          <w:szCs w:val="32"/>
        </w:rPr>
      </w:pPr>
      <w:r>
        <w:rPr>
          <w:rFonts w:hint="eastAsia" w:ascii="仿宋_GB2312" w:hAnsi="Times New Roman" w:cs="Times New Roman"/>
          <w:b/>
          <w:sz w:val="32"/>
          <w:szCs w:val="32"/>
        </w:rPr>
        <w:t>深入推进“健康兴庆”行动。</w:t>
      </w:r>
      <w:r>
        <w:rPr>
          <w:rFonts w:hint="eastAsia" w:ascii="仿宋_GB2312" w:hAnsi="Times New Roman" w:cs="Times New Roman"/>
          <w:sz w:val="32"/>
          <w:szCs w:val="32"/>
        </w:rPr>
        <w:t>以“健康兴庆”为抓手，提高人均公共卫生服务经费，促进基本公共卫生服务均等化。健全城</w:t>
      </w:r>
      <w:r>
        <w:rPr>
          <w:rFonts w:ascii="Times New Roman" w:hAnsi="Times New Roman" w:cs="Times New Roman"/>
          <w:sz w:val="32"/>
          <w:szCs w:val="32"/>
        </w:rPr>
        <w:t>乡基层卫生机构疾病预防控制网络体系和疫情信息报告制度，强化慢性病、传染病、地方病及重大疫情防控工作，设立疾病应急救助基金，提升疾病预防控制和公共卫生应急能力。深入开展妇、幼、老安康工程，建立兴庆区妇幼保健机构，全</w:t>
      </w:r>
      <w:r>
        <w:rPr>
          <w:rFonts w:hint="eastAsia" w:ascii="仿宋_GB2312" w:hAnsi="Times New Roman" w:cs="Times New Roman"/>
          <w:sz w:val="32"/>
          <w:szCs w:val="32"/>
        </w:rPr>
        <w:t>面实施“七免一救助”政策，提高妇、幼、老健康水平。</w:t>
      </w:r>
      <w:r>
        <w:rPr>
          <w:rFonts w:hint="eastAsia" w:ascii="仿宋_GB2312" w:hAnsi="Times New Roman" w:cs="Times New Roman"/>
          <w:color w:val="000000"/>
          <w:sz w:val="32"/>
          <w:szCs w:val="32"/>
        </w:rPr>
        <w:t>加强人</w:t>
      </w:r>
      <w:r>
        <w:rPr>
          <w:rFonts w:ascii="Times New Roman" w:hAnsi="Times New Roman" w:cs="Times New Roman"/>
          <w:color w:val="000000"/>
          <w:sz w:val="32"/>
          <w:szCs w:val="32"/>
        </w:rPr>
        <w:t>口综合服务，实施免费孕前优生检查，</w:t>
      </w:r>
      <w:r>
        <w:rPr>
          <w:rFonts w:ascii="Times New Roman" w:hAnsi="Times New Roman" w:cs="Times New Roman"/>
          <w:sz w:val="32"/>
          <w:szCs w:val="32"/>
        </w:rPr>
        <w:t>降低出生缺陷率，</w:t>
      </w:r>
      <w:r>
        <w:rPr>
          <w:rFonts w:ascii="Times New Roman" w:hAnsi="Times New Roman" w:cs="Times New Roman"/>
          <w:color w:val="000000"/>
          <w:sz w:val="32"/>
          <w:szCs w:val="32"/>
        </w:rPr>
        <w:t>提高出生人口素质，</w:t>
      </w:r>
      <w:r>
        <w:rPr>
          <w:rFonts w:ascii="Times New Roman" w:hAnsi="Times New Roman" w:cs="Times New Roman"/>
          <w:sz w:val="32"/>
          <w:szCs w:val="32"/>
        </w:rPr>
        <w:t>实施全面二孩政策，优化人口年龄结构，至2020年，居民健康达到国内一流水平。</w:t>
      </w:r>
      <w:r>
        <w:rPr>
          <w:rFonts w:ascii="Times New Roman" w:hAnsi="Times New Roman" w:cs="Times New Roman"/>
          <w:color w:val="000000"/>
          <w:sz w:val="32"/>
          <w:szCs w:val="32"/>
        </w:rPr>
        <w:t>坚持优质服务，强化利益导向，完善网络信息系统功能，扎实推进流动人口卫生计生基本公共服务均等化。</w:t>
      </w:r>
    </w:p>
    <w:p w14:paraId="41BD7B15">
      <w:pPr>
        <w:widowControl/>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开展智慧医疗体系建设。</w:t>
      </w:r>
      <w:r>
        <w:rPr>
          <w:rFonts w:ascii="Times New Roman" w:hAnsi="Times New Roman" w:cs="Times New Roman"/>
          <w:bCs/>
          <w:sz w:val="32"/>
          <w:szCs w:val="32"/>
        </w:rPr>
        <w:t>加快推进人口健康信息化建设，</w:t>
      </w:r>
      <w:r>
        <w:rPr>
          <w:rFonts w:hint="eastAsia" w:ascii="仿宋_GB2312" w:hAnsi="Times New Roman" w:cs="Times New Roman"/>
          <w:bCs/>
          <w:sz w:val="32"/>
          <w:szCs w:val="32"/>
        </w:rPr>
        <w:t>普及应用居民健康卡，实现就医“一卡通”。</w:t>
      </w:r>
      <w:r>
        <w:rPr>
          <w:rFonts w:hint="eastAsia" w:ascii="仿宋_GB2312" w:hAnsi="Times New Roman" w:cs="Times New Roman"/>
          <w:color w:val="000000"/>
          <w:sz w:val="32"/>
          <w:szCs w:val="32"/>
        </w:rPr>
        <w:t>构建完善的区域人</w:t>
      </w:r>
      <w:r>
        <w:rPr>
          <w:rFonts w:ascii="Times New Roman" w:hAnsi="Times New Roman" w:cs="Times New Roman"/>
          <w:color w:val="000000"/>
          <w:sz w:val="32"/>
          <w:szCs w:val="32"/>
        </w:rPr>
        <w:t>口健康信息平台，建立动态更新的标准化电子健康档案</w:t>
      </w:r>
      <w:r>
        <w:rPr>
          <w:rFonts w:ascii="Times New Roman" w:hAnsi="Times New Roman" w:cs="Times New Roman"/>
          <w:kern w:val="0"/>
          <w:sz w:val="32"/>
          <w:szCs w:val="32"/>
        </w:rPr>
        <w:t>。顺应</w:t>
      </w:r>
      <w:r>
        <w:rPr>
          <w:rFonts w:hint="eastAsia" w:ascii="仿宋_GB2312" w:hAnsi="Times New Roman" w:cs="Times New Roman"/>
          <w:kern w:val="0"/>
          <w:sz w:val="32"/>
          <w:szCs w:val="32"/>
        </w:rPr>
        <w:t>“互联网+”趋势，创建区域智慧医疗平台，推进数字化医院建设</w:t>
      </w:r>
      <w:r>
        <w:rPr>
          <w:rFonts w:ascii="Times New Roman" w:hAnsi="Times New Roman" w:cs="Times New Roman"/>
          <w:kern w:val="0"/>
          <w:sz w:val="32"/>
          <w:szCs w:val="32"/>
        </w:rPr>
        <w:t>和社区服务中心信息化建设，以卫生信息化带动卫生现代化。</w:t>
      </w:r>
    </w:p>
    <w:p w14:paraId="0F789D13">
      <w:pPr>
        <w:pStyle w:val="3"/>
        <w:spacing w:before="312" w:beforeLines="100" w:after="156" w:afterLines="50" w:line="520" w:lineRule="exact"/>
        <w:ind w:firstLine="0" w:firstLineChars="0"/>
        <w:jc w:val="center"/>
        <w:rPr>
          <w:rFonts w:ascii="黑体" w:hAnsi="Times New Roman" w:eastAsia="黑体" w:cs="Times New Roman"/>
          <w:b w:val="0"/>
        </w:rPr>
      </w:pPr>
      <w:bookmarkStart w:id="132" w:name="_Toc428053249"/>
      <w:bookmarkStart w:id="133" w:name="_Toc428273446"/>
      <w:bookmarkStart w:id="134" w:name="_Toc437344114"/>
      <w:bookmarkStart w:id="135" w:name="_Toc439358334"/>
      <w:r>
        <w:rPr>
          <w:rFonts w:ascii="黑体" w:hAnsi="Times New Roman" w:eastAsia="黑体" w:cs="Times New Roman"/>
          <w:b w:val="0"/>
        </w:rPr>
        <w:t>第三节  繁荣文化体育</w:t>
      </w:r>
      <w:bookmarkEnd w:id="132"/>
      <w:bookmarkEnd w:id="133"/>
      <w:bookmarkEnd w:id="134"/>
      <w:r>
        <w:rPr>
          <w:rFonts w:ascii="黑体" w:hAnsi="Times New Roman" w:eastAsia="黑体" w:cs="Times New Roman"/>
          <w:b w:val="0"/>
        </w:rPr>
        <w:t>事业</w:t>
      </w:r>
      <w:bookmarkEnd w:id="135"/>
    </w:p>
    <w:p w14:paraId="0F3BC71C">
      <w:pPr>
        <w:adjustRightInd w:val="0"/>
        <w:snapToGrid w:val="0"/>
        <w:spacing w:line="610" w:lineRule="exact"/>
        <w:ind w:firstLine="643"/>
        <w:rPr>
          <w:rFonts w:ascii="Times New Roman" w:hAnsi="Times New Roman" w:cs="Times New Roman"/>
          <w:b/>
          <w:sz w:val="32"/>
          <w:szCs w:val="32"/>
        </w:rPr>
      </w:pPr>
      <w:r>
        <w:rPr>
          <w:rFonts w:ascii="Times New Roman" w:hAnsi="Times New Roman" w:cs="Times New Roman"/>
          <w:b/>
          <w:sz w:val="32"/>
          <w:szCs w:val="32"/>
        </w:rPr>
        <w:t>提升公共文化服务水平。</w:t>
      </w:r>
      <w:r>
        <w:rPr>
          <w:rFonts w:ascii="Times New Roman" w:hAnsi="Times New Roman" w:cs="Times New Roman"/>
          <w:sz w:val="32"/>
          <w:szCs w:val="32"/>
        </w:rPr>
        <w:t>增加公共文化事业财政投入，统筹城乡公共文化设施建设，整合各类文化资源，打造综合文化</w:t>
      </w:r>
      <w:r>
        <w:rPr>
          <w:rFonts w:hint="eastAsia" w:ascii="仿宋_GB2312" w:hAnsi="Times New Roman" w:cs="Times New Roman"/>
          <w:sz w:val="32"/>
          <w:szCs w:val="32"/>
        </w:rPr>
        <w:t>阵地，贯彻落实“三馆两站一中心”免费开放制度，构建公共文</w:t>
      </w:r>
      <w:r>
        <w:rPr>
          <w:rFonts w:ascii="Times New Roman" w:hAnsi="Times New Roman" w:cs="Times New Roman"/>
          <w:sz w:val="32"/>
          <w:szCs w:val="32"/>
        </w:rPr>
        <w:t>化服务体系。抓好文化惠民工程，</w:t>
      </w:r>
      <w:r>
        <w:rPr>
          <w:rFonts w:ascii="Times New Roman" w:hAnsi="Times New Roman" w:cs="Times New Roman"/>
          <w:color w:val="0C0C0C"/>
          <w:kern w:val="0"/>
          <w:sz w:val="32"/>
          <w:szCs w:val="32"/>
        </w:rPr>
        <w:t>广泛开展社区文化、乡村文化、校园文化、企业文化、少儿文化、节庆文化等群众活动，</w:t>
      </w:r>
      <w:r>
        <w:rPr>
          <w:rFonts w:ascii="Times New Roman" w:hAnsi="Times New Roman" w:cs="Times New Roman"/>
          <w:color w:val="0C0C0C"/>
          <w:sz w:val="32"/>
          <w:szCs w:val="32"/>
        </w:rPr>
        <w:t>鼓励开展普及性、公益性的文化艺术讲座和活动，打造兴庆特</w:t>
      </w:r>
      <w:r>
        <w:rPr>
          <w:rFonts w:hint="eastAsia" w:ascii="仿宋_GB2312" w:hAnsi="Times New Roman" w:cs="Times New Roman"/>
          <w:color w:val="0C0C0C"/>
          <w:sz w:val="32"/>
          <w:szCs w:val="32"/>
        </w:rPr>
        <w:t>色文化品牌。围绕“书香兴庆”，不断完善各级图书馆建设，开</w:t>
      </w:r>
      <w:r>
        <w:rPr>
          <w:rFonts w:ascii="Times New Roman" w:hAnsi="Times New Roman" w:cs="Times New Roman"/>
          <w:color w:val="0C0C0C"/>
          <w:sz w:val="32"/>
          <w:szCs w:val="32"/>
        </w:rPr>
        <w:t>展多样性阅读活动，推动全民阅读活动深入开展。加强西塔北塔、黄沙古渡</w:t>
      </w:r>
      <w:r>
        <w:rPr>
          <w:rFonts w:ascii="Times New Roman" w:hAnsi="Times New Roman" w:cs="Times New Roman"/>
          <w:sz w:val="32"/>
          <w:szCs w:val="32"/>
        </w:rPr>
        <w:t>、镇河堡、赵良栋将军墓</w:t>
      </w:r>
      <w:r>
        <w:rPr>
          <w:rFonts w:ascii="Times New Roman" w:hAnsi="Times New Roman" w:cs="Times New Roman"/>
          <w:color w:val="0C0C0C"/>
          <w:sz w:val="32"/>
          <w:szCs w:val="32"/>
        </w:rPr>
        <w:t>等历史文物的保护，争取命名公布一批国家、自治区级文物保护单位。</w:t>
      </w:r>
    </w:p>
    <w:p w14:paraId="12ECAD52">
      <w:pPr>
        <w:adjustRightInd w:val="0"/>
        <w:snapToGrid w:val="0"/>
        <w:spacing w:line="610" w:lineRule="exact"/>
        <w:ind w:firstLine="643"/>
        <w:rPr>
          <w:rFonts w:hint="eastAsia" w:ascii="Times New Roman" w:hAnsi="Times New Roman" w:cs="Times New Roman"/>
          <w:sz w:val="32"/>
          <w:szCs w:val="32"/>
        </w:rPr>
      </w:pPr>
      <w:r>
        <w:rPr>
          <w:rFonts w:ascii="Times New Roman" w:hAnsi="Times New Roman" w:cs="Times New Roman"/>
          <w:b/>
          <w:sz w:val="32"/>
          <w:szCs w:val="32"/>
        </w:rPr>
        <w:t>促进体育事业健康发展。</w:t>
      </w:r>
      <w:r>
        <w:rPr>
          <w:rFonts w:ascii="Times New Roman" w:hAnsi="Times New Roman" w:cs="Times New Roman"/>
          <w:sz w:val="32"/>
          <w:szCs w:val="32"/>
        </w:rPr>
        <w:t>贯彻执行《兴庆区2016-2020年全民健身规划》，广泛深入开展全民健身活动，提高辖区人民身体素质和健康水平，力争2020年，经常性参加体育活动的人数争取达到全区总人口的</w:t>
      </w:r>
      <w:r>
        <w:rPr>
          <w:rFonts w:ascii="Times New Roman" w:hAnsi="Times New Roman" w:cs="Times New Roman"/>
          <w:color w:val="000000"/>
          <w:sz w:val="32"/>
          <w:szCs w:val="32"/>
        </w:rPr>
        <w:t>60%以上，国民体质监测合格率达80%</w:t>
      </w:r>
      <w:r>
        <w:rPr>
          <w:rFonts w:ascii="Times New Roman" w:hAnsi="Times New Roman" w:cs="Times New Roman"/>
          <w:b/>
          <w:color w:val="000000"/>
          <w:sz w:val="32"/>
          <w:szCs w:val="32"/>
        </w:rPr>
        <w:t>。</w:t>
      </w:r>
      <w:r>
        <w:rPr>
          <w:rFonts w:ascii="Times New Roman" w:hAnsi="Times New Roman" w:cs="Times New Roman"/>
          <w:color w:val="000000"/>
          <w:kern w:val="0"/>
          <w:sz w:val="32"/>
          <w:szCs w:val="32"/>
        </w:rPr>
        <w:t>坚持举办体育健身娱乐为主题的群众性体育活动，</w:t>
      </w:r>
      <w:r>
        <w:rPr>
          <w:rFonts w:ascii="Times New Roman" w:hAnsi="Times New Roman" w:cs="Times New Roman"/>
          <w:color w:val="000000"/>
          <w:sz w:val="32"/>
          <w:szCs w:val="32"/>
        </w:rPr>
        <w:t>加强城乡现代化体育设施建设和管理，建设社区多功能运动场地，创建</w:t>
      </w:r>
      <w:r>
        <w:rPr>
          <w:rFonts w:hint="eastAsia" w:ascii="仿宋_GB2312" w:hAnsi="Times New Roman" w:cs="Times New Roman"/>
          <w:color w:val="000000"/>
          <w:sz w:val="32"/>
          <w:szCs w:val="32"/>
        </w:rPr>
        <w:t>“</w:t>
      </w:r>
      <w:r>
        <w:rPr>
          <w:rFonts w:ascii="Times New Roman" w:hAnsi="Times New Roman" w:cs="Times New Roman"/>
          <w:color w:val="000000"/>
          <w:sz w:val="32"/>
          <w:szCs w:val="32"/>
        </w:rPr>
        <w:t>15</w:t>
      </w:r>
      <w:r>
        <w:rPr>
          <w:rFonts w:hint="eastAsia" w:ascii="仿宋_GB2312" w:hAnsi="Times New Roman" w:cs="Times New Roman"/>
          <w:color w:val="000000"/>
          <w:sz w:val="32"/>
          <w:szCs w:val="32"/>
        </w:rPr>
        <w:t>分钟健身圈”。抓好青少年的竞技体育项目，完善竞技体育后备</w:t>
      </w:r>
      <w:r>
        <w:rPr>
          <w:rFonts w:ascii="Times New Roman" w:hAnsi="Times New Roman" w:cs="Times New Roman"/>
          <w:sz w:val="32"/>
          <w:szCs w:val="32"/>
        </w:rPr>
        <w:t>人才队伍，提高竞技体育水平，</w:t>
      </w:r>
      <w:r>
        <w:rPr>
          <w:rFonts w:ascii="Times New Roman" w:hAnsi="Times New Roman" w:cs="Times New Roman"/>
          <w:color w:val="0C0C0C"/>
          <w:sz w:val="32"/>
          <w:szCs w:val="32"/>
        </w:rPr>
        <w:t>再创好成绩</w:t>
      </w:r>
      <w:r>
        <w:rPr>
          <w:rFonts w:ascii="Times New Roman" w:hAnsi="Times New Roman" w:cs="Times New Roman"/>
          <w:sz w:val="32"/>
          <w:szCs w:val="32"/>
        </w:rPr>
        <w:t>。</w:t>
      </w:r>
    </w:p>
    <w:p w14:paraId="7FD91EBD">
      <w:pPr>
        <w:adjustRightInd w:val="0"/>
        <w:snapToGrid w:val="0"/>
        <w:spacing w:line="240" w:lineRule="exact"/>
        <w:ind w:firstLine="640"/>
        <w:rPr>
          <w:rFonts w:hint="eastAsia" w:ascii="Times New Roman" w:hAnsi="Times New Roman" w:cs="Times New Roman"/>
          <w:sz w:val="32"/>
          <w:szCs w:val="32"/>
        </w:rPr>
      </w:pPr>
    </w:p>
    <w:p w14:paraId="282AFC1A">
      <w:pPr>
        <w:adjustRightInd w:val="0"/>
        <w:snapToGrid w:val="0"/>
        <w:spacing w:line="240" w:lineRule="exact"/>
        <w:ind w:firstLine="643"/>
        <w:rPr>
          <w:rFonts w:hint="eastAsia" w:ascii="Times New Roman" w:hAnsi="Times New Roman" w:cs="Times New Roman"/>
          <w:b/>
          <w:sz w:val="32"/>
          <w:szCs w:val="32"/>
        </w:rPr>
      </w:pPr>
    </w:p>
    <w:p w14:paraId="307CE424">
      <w:pPr>
        <w:pStyle w:val="3"/>
        <w:spacing w:before="156" w:beforeLines="50" w:after="156" w:afterLines="50" w:line="520" w:lineRule="exact"/>
        <w:ind w:firstLine="0" w:firstLineChars="0"/>
        <w:jc w:val="center"/>
        <w:rPr>
          <w:rFonts w:ascii="黑体" w:hAnsi="Times New Roman" w:eastAsia="黑体" w:cs="Times New Roman"/>
          <w:b w:val="0"/>
        </w:rPr>
      </w:pPr>
      <w:bookmarkStart w:id="136" w:name="_Toc437344136"/>
      <w:bookmarkStart w:id="137" w:name="_Toc439358335"/>
      <w:r>
        <w:rPr>
          <w:rFonts w:ascii="黑体" w:hAnsi="Times New Roman" w:eastAsia="黑体" w:cs="Times New Roman"/>
          <w:b w:val="0"/>
        </w:rPr>
        <w:t xml:space="preserve">第四节 </w:t>
      </w:r>
      <w:bookmarkEnd w:id="136"/>
      <w:r>
        <w:rPr>
          <w:rFonts w:ascii="黑体" w:hAnsi="Times New Roman" w:eastAsia="黑体" w:cs="Times New Roman"/>
          <w:b w:val="0"/>
        </w:rPr>
        <w:t xml:space="preserve"> 全力促进就业创业</w:t>
      </w:r>
      <w:bookmarkEnd w:id="137"/>
    </w:p>
    <w:p w14:paraId="5F8B8F7A">
      <w:pPr>
        <w:adjustRightInd w:val="0"/>
        <w:snapToGrid w:val="0"/>
        <w:spacing w:line="610" w:lineRule="exact"/>
        <w:ind w:firstLine="643"/>
        <w:rPr>
          <w:rFonts w:hint="eastAsia" w:ascii="仿宋_GB2312" w:hAnsi="Times New Roman" w:cs="Times New Roman"/>
          <w:b/>
          <w:sz w:val="32"/>
          <w:szCs w:val="32"/>
        </w:rPr>
      </w:pPr>
      <w:r>
        <w:rPr>
          <w:rFonts w:ascii="Times New Roman" w:hAnsi="Times New Roman" w:cs="Times New Roman"/>
          <w:b/>
          <w:sz w:val="32"/>
          <w:szCs w:val="32"/>
        </w:rPr>
        <w:t>积极扩大就业。</w:t>
      </w:r>
      <w:r>
        <w:rPr>
          <w:rFonts w:ascii="Times New Roman" w:hAnsi="Times New Roman" w:cs="Times New Roman"/>
          <w:bCs/>
          <w:sz w:val="32"/>
          <w:szCs w:val="32"/>
        </w:rPr>
        <w:t>广泛</w:t>
      </w:r>
      <w:r>
        <w:rPr>
          <w:rFonts w:ascii="Times New Roman" w:hAnsi="Times New Roman" w:cs="Times New Roman"/>
          <w:sz w:val="32"/>
          <w:szCs w:val="32"/>
        </w:rPr>
        <w:t>增加就业渠道，立足产业内部吸纳一批，自主创业带动一批，确保五年实现城镇就业5万人，组织各类职业技能培训1万人次，创业培训1500人次，生态移民就业技能培训3000人次。完善就业援助制度，</w:t>
      </w:r>
      <w:r>
        <w:rPr>
          <w:rFonts w:ascii="Times New Roman" w:hAnsi="Times New Roman" w:cs="Times New Roman"/>
          <w:color w:val="0C0C0C"/>
          <w:sz w:val="32"/>
          <w:szCs w:val="32"/>
        </w:rPr>
        <w:t>全面动态</w:t>
      </w:r>
      <w:r>
        <w:rPr>
          <w:rFonts w:hint="eastAsia" w:ascii="仿宋_GB2312" w:hAnsi="Times New Roman" w:cs="Times New Roman"/>
          <w:color w:val="0C0C0C"/>
          <w:sz w:val="32"/>
          <w:szCs w:val="32"/>
        </w:rPr>
        <w:t>消除“零就业”、“零转移”家庭</w:t>
      </w:r>
      <w:r>
        <w:rPr>
          <w:rFonts w:hint="eastAsia" w:ascii="仿宋_GB2312" w:hAnsi="Times New Roman" w:cs="Times New Roman"/>
          <w:color w:val="0C0C0C"/>
          <w:kern w:val="0"/>
          <w:sz w:val="32"/>
          <w:szCs w:val="32"/>
        </w:rPr>
        <w:t>。</w:t>
      </w:r>
      <w:r>
        <w:rPr>
          <w:rFonts w:hint="eastAsia" w:ascii="仿宋_GB2312" w:hAnsi="Times New Roman" w:cs="Times New Roman"/>
          <w:color w:val="0C0C0C"/>
          <w:sz w:val="32"/>
          <w:szCs w:val="32"/>
        </w:rPr>
        <w:t>培育专业人力资源服务机构、劳务派遣公司，</w:t>
      </w:r>
      <w:r>
        <w:rPr>
          <w:rFonts w:hint="eastAsia" w:ascii="仿宋_GB2312" w:hAnsi="Times New Roman" w:cs="Times New Roman"/>
          <w:sz w:val="32"/>
          <w:szCs w:val="32"/>
        </w:rPr>
        <w:t>按照“中心城区有市场、主要乡镇有网点、街道社区有窗口”的目标，</w:t>
      </w:r>
      <w:r>
        <w:rPr>
          <w:rFonts w:hint="eastAsia" w:ascii="仿宋_GB2312" w:hAnsi="Times New Roman" w:cs="Times New Roman"/>
          <w:color w:val="0C0C0C"/>
          <w:sz w:val="32"/>
          <w:szCs w:val="32"/>
        </w:rPr>
        <w:t>建立人力资源信息网络平台，</w:t>
      </w:r>
      <w:r>
        <w:rPr>
          <w:rFonts w:hint="eastAsia" w:ascii="仿宋_GB2312" w:hAnsi="Times New Roman" w:cs="Times New Roman"/>
          <w:sz w:val="32"/>
          <w:szCs w:val="32"/>
        </w:rPr>
        <w:t>完善就业服务。开展职业技能培训和鉴定，开发创业项目，充实创业项目库和创业专家咨询服务团，为创业者提供项目信息、政策咨询、融资服务、人力资源服务和跟踪扶持。</w:t>
      </w:r>
    </w:p>
    <w:p w14:paraId="2D4B75AE">
      <w:pPr>
        <w:adjustRightInd w:val="0"/>
        <w:snapToGrid w:val="0"/>
        <w:spacing w:line="610" w:lineRule="exact"/>
        <w:ind w:firstLine="643"/>
        <w:rPr>
          <w:rFonts w:ascii="Times New Roman" w:hAnsi="Times New Roman" w:cs="Times New Roman"/>
          <w:color w:val="0C0C0C"/>
          <w:kern w:val="0"/>
          <w:sz w:val="32"/>
          <w:szCs w:val="32"/>
        </w:rPr>
      </w:pPr>
      <w:r>
        <w:rPr>
          <w:rFonts w:ascii="Times New Roman" w:hAnsi="Times New Roman" w:cs="Times New Roman"/>
          <w:b/>
          <w:sz w:val="32"/>
          <w:szCs w:val="32"/>
        </w:rPr>
        <w:t>鼓励创业富民</w:t>
      </w:r>
      <w:bookmarkStart w:id="138" w:name="_Toc437344138"/>
      <w:r>
        <w:rPr>
          <w:rFonts w:ascii="Times New Roman" w:hAnsi="Times New Roman" w:cs="Times New Roman"/>
          <w:b/>
          <w:sz w:val="32"/>
          <w:szCs w:val="32"/>
        </w:rPr>
        <w:t>。</w:t>
      </w:r>
      <w:r>
        <w:rPr>
          <w:rFonts w:ascii="Times New Roman" w:hAnsi="Times New Roman" w:cs="Times New Roman"/>
          <w:color w:val="0C0C0C"/>
          <w:sz w:val="32"/>
          <w:szCs w:val="32"/>
        </w:rPr>
        <w:t>营造大众创业、万众创新氛围，</w:t>
      </w:r>
      <w:r>
        <w:rPr>
          <w:rFonts w:ascii="Times New Roman" w:hAnsi="Times New Roman" w:cs="Times New Roman"/>
          <w:bCs/>
          <w:sz w:val="32"/>
          <w:szCs w:val="32"/>
        </w:rPr>
        <w:t>积极搭建创业载体、创业融资、创业培训和创业政</w:t>
      </w:r>
      <w:r>
        <w:rPr>
          <w:rFonts w:hint="eastAsia" w:ascii="仿宋_GB2312" w:hAnsi="Times New Roman" w:cs="Times New Roman"/>
          <w:bCs/>
          <w:sz w:val="32"/>
          <w:szCs w:val="32"/>
        </w:rPr>
        <w:t>策“四个平台”</w:t>
      </w:r>
      <w:r>
        <w:rPr>
          <w:rFonts w:ascii="Times New Roman" w:hAnsi="Times New Roman" w:cs="Times New Roman"/>
          <w:bCs/>
          <w:sz w:val="32"/>
          <w:szCs w:val="32"/>
        </w:rPr>
        <w:t>，</w:t>
      </w:r>
      <w:r>
        <w:rPr>
          <w:rFonts w:ascii="Times New Roman" w:hAnsi="Times New Roman" w:cs="Times New Roman"/>
          <w:color w:val="0C0C0C"/>
          <w:kern w:val="0"/>
          <w:sz w:val="32"/>
          <w:szCs w:val="32"/>
        </w:rPr>
        <w:t>建设一批标准化的示范性创业孵化基地、创业园区、</w:t>
      </w:r>
      <w:r>
        <w:rPr>
          <w:rFonts w:ascii="Times New Roman" w:hAnsi="Times New Roman" w:cs="Times New Roman"/>
          <w:color w:val="0C0C0C"/>
          <w:sz w:val="32"/>
          <w:szCs w:val="32"/>
        </w:rPr>
        <w:t>创客空间等创业平台</w:t>
      </w:r>
      <w:r>
        <w:rPr>
          <w:rFonts w:ascii="Times New Roman" w:hAnsi="Times New Roman" w:cs="Times New Roman"/>
          <w:color w:val="0C0C0C"/>
          <w:kern w:val="0"/>
          <w:sz w:val="32"/>
          <w:szCs w:val="32"/>
        </w:rPr>
        <w:t>，发挥创业带动就业的倍增效应，打造创业型城区。</w:t>
      </w:r>
      <w:r>
        <w:rPr>
          <w:rFonts w:ascii="Times New Roman" w:hAnsi="Times New Roman" w:cs="Times New Roman"/>
          <w:color w:val="0C0C0C"/>
          <w:sz w:val="32"/>
          <w:szCs w:val="32"/>
        </w:rPr>
        <w:t>优化创业服务，</w:t>
      </w:r>
      <w:r>
        <w:rPr>
          <w:rFonts w:ascii="Times New Roman" w:hAnsi="Times New Roman" w:cs="Times New Roman"/>
          <w:color w:val="0C0C0C"/>
          <w:kern w:val="0"/>
          <w:sz w:val="32"/>
          <w:szCs w:val="32"/>
        </w:rPr>
        <w:t>对城镇失业人员、农村富余劳动力、退役士兵、残疾人和社区矫正等人员开展就业技能培训，对科研人员、留学回国人员、高校毕业生等群体开展创业培训，推进创业促就业、创业富民工作。</w:t>
      </w:r>
    </w:p>
    <w:p w14:paraId="0A35EF58">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发展社区服务业促就业。</w:t>
      </w:r>
      <w:r>
        <w:rPr>
          <w:rFonts w:ascii="Times New Roman" w:hAnsi="Times New Roman" w:cs="Times New Roman"/>
          <w:sz w:val="32"/>
          <w:szCs w:val="32"/>
        </w:rPr>
        <w:t>加快社区服务业信息化建设，完善家庭服务网络，建设智慧社区，依托电子商务培育和扶持一批有影响力的知名社区服务企业，以产业促就业。</w:t>
      </w:r>
      <w:r>
        <w:rPr>
          <w:rFonts w:ascii="Times New Roman" w:hAnsi="Times New Roman" w:cs="Times New Roman"/>
          <w:color w:val="0C0C0C"/>
          <w:kern w:val="0"/>
          <w:sz w:val="32"/>
          <w:szCs w:val="32"/>
        </w:rPr>
        <w:t>结合老旧小区和棚户区改造，开发和购买物业管理、清扫保洁、垃圾清运、绿化管理、家政服务、养老服务、病患陪护等公益性岗位，安置一批就业困难人员和</w:t>
      </w:r>
      <w:r>
        <w:rPr>
          <w:rFonts w:ascii="Times New Roman" w:hAnsi="Times New Roman" w:cs="Times New Roman"/>
          <w:color w:val="0C0C0C"/>
          <w:sz w:val="32"/>
          <w:szCs w:val="32"/>
        </w:rPr>
        <w:t>失地</w:t>
      </w:r>
      <w:r>
        <w:rPr>
          <w:rFonts w:ascii="Times New Roman" w:hAnsi="Times New Roman" w:cs="Times New Roman"/>
          <w:color w:val="0C0C0C"/>
          <w:kern w:val="0"/>
          <w:sz w:val="32"/>
          <w:szCs w:val="32"/>
        </w:rPr>
        <w:t>农民就近就业</w:t>
      </w:r>
      <w:r>
        <w:rPr>
          <w:rFonts w:ascii="Times New Roman" w:hAnsi="Times New Roman" w:cs="Times New Roman"/>
          <w:color w:val="0C0C0C"/>
          <w:sz w:val="32"/>
          <w:szCs w:val="32"/>
        </w:rPr>
        <w:t>，</w:t>
      </w:r>
      <w:r>
        <w:rPr>
          <w:rFonts w:ascii="Times New Roman" w:hAnsi="Times New Roman" w:cs="Times New Roman"/>
          <w:sz w:val="32"/>
          <w:szCs w:val="32"/>
        </w:rPr>
        <w:t>发挥社区服务业对就业的吸纳作用。</w:t>
      </w:r>
    </w:p>
    <w:p w14:paraId="0EA8C7DA">
      <w:pPr>
        <w:pStyle w:val="3"/>
        <w:spacing w:before="312" w:beforeLines="100" w:after="156" w:afterLines="50" w:line="520" w:lineRule="exact"/>
        <w:ind w:firstLine="0" w:firstLineChars="0"/>
        <w:jc w:val="center"/>
        <w:rPr>
          <w:rFonts w:ascii="黑体" w:hAnsi="Times New Roman" w:eastAsia="黑体" w:cs="Times New Roman"/>
          <w:b w:val="0"/>
        </w:rPr>
      </w:pPr>
      <w:bookmarkStart w:id="139" w:name="_Toc439358336"/>
      <w:r>
        <w:rPr>
          <w:rFonts w:ascii="黑体" w:hAnsi="Times New Roman" w:eastAsia="黑体" w:cs="Times New Roman"/>
          <w:b w:val="0"/>
        </w:rPr>
        <w:t>第五节  完善社会保障</w:t>
      </w:r>
      <w:bookmarkEnd w:id="138"/>
      <w:r>
        <w:rPr>
          <w:rFonts w:ascii="黑体" w:hAnsi="Times New Roman" w:eastAsia="黑体" w:cs="Times New Roman"/>
          <w:b w:val="0"/>
        </w:rPr>
        <w:t>体系</w:t>
      </w:r>
      <w:bookmarkEnd w:id="139"/>
    </w:p>
    <w:p w14:paraId="07B4C8E1">
      <w:pPr>
        <w:spacing w:line="610" w:lineRule="exact"/>
        <w:ind w:firstLine="643"/>
        <w:rPr>
          <w:rFonts w:ascii="Times New Roman" w:hAnsi="Times New Roman" w:cs="Times New Roman"/>
          <w:color w:val="0C0C0C"/>
          <w:sz w:val="32"/>
          <w:szCs w:val="32"/>
        </w:rPr>
      </w:pPr>
      <w:r>
        <w:rPr>
          <w:rFonts w:ascii="Times New Roman" w:hAnsi="Times New Roman" w:cs="Times New Roman"/>
          <w:b/>
          <w:sz w:val="32"/>
          <w:szCs w:val="32"/>
        </w:rPr>
        <w:t>健全社会保障体系。</w:t>
      </w:r>
      <w:r>
        <w:rPr>
          <w:rFonts w:ascii="Times New Roman" w:hAnsi="Times New Roman" w:cs="Times New Roman"/>
          <w:color w:val="0C0C0C"/>
          <w:sz w:val="32"/>
          <w:szCs w:val="32"/>
        </w:rPr>
        <w:t>扩大城乡社会保障覆盖面，实现失地农民养老保险全覆盖、弱势群体和残疾人社会保险全覆盖，确保辖区居民人人享有基本社会保障。建立与经济社会发展相适应的社会保障投入机制，着力提高保障水平。</w:t>
      </w:r>
    </w:p>
    <w:p w14:paraId="29064F55">
      <w:pPr>
        <w:spacing w:line="610" w:lineRule="exact"/>
        <w:ind w:firstLine="643"/>
        <w:rPr>
          <w:rFonts w:ascii="Times New Roman" w:hAnsi="Times New Roman" w:cs="Times New Roman"/>
          <w:color w:val="0C0C0C"/>
          <w:sz w:val="32"/>
          <w:szCs w:val="32"/>
        </w:rPr>
      </w:pPr>
      <w:r>
        <w:rPr>
          <w:rFonts w:ascii="Times New Roman" w:hAnsi="Times New Roman" w:cs="Times New Roman"/>
          <w:b/>
          <w:bCs/>
          <w:color w:val="0C0C0C"/>
          <w:sz w:val="32"/>
          <w:szCs w:val="32"/>
        </w:rPr>
        <w:t>完善社会救助体系</w:t>
      </w:r>
      <w:r>
        <w:rPr>
          <w:rFonts w:ascii="Times New Roman" w:hAnsi="Times New Roman" w:cs="Times New Roman"/>
          <w:b/>
          <w:color w:val="0C0C0C"/>
          <w:sz w:val="32"/>
          <w:szCs w:val="32"/>
        </w:rPr>
        <w:t>。</w:t>
      </w:r>
      <w:r>
        <w:rPr>
          <w:rFonts w:ascii="Times New Roman" w:hAnsi="Times New Roman" w:cs="Times New Roman"/>
          <w:color w:val="0C0C0C"/>
          <w:sz w:val="32"/>
          <w:szCs w:val="32"/>
        </w:rPr>
        <w:t>规范城乡低保管理，统筹城</w:t>
      </w:r>
      <w:r>
        <w:rPr>
          <w:rFonts w:hint="eastAsia" w:ascii="仿宋_GB2312" w:hAnsi="Times New Roman" w:cs="Times New Roman"/>
          <w:color w:val="0C0C0C"/>
          <w:sz w:val="32"/>
          <w:szCs w:val="32"/>
        </w:rPr>
        <w:t>乡“三无”</w:t>
      </w:r>
      <w:r>
        <w:rPr>
          <w:rFonts w:ascii="Times New Roman" w:hAnsi="Times New Roman" w:cs="Times New Roman"/>
          <w:color w:val="0C0C0C"/>
          <w:sz w:val="32"/>
          <w:szCs w:val="32"/>
        </w:rPr>
        <w:t>特困人员供养制度和医疗救助制度，完善分类救助、临时救助制度，做好各项制度的衔接，确保困难群众基本生活。积极支持慈善组织建设，发展社会福利事业。</w:t>
      </w:r>
    </w:p>
    <w:p w14:paraId="7E754B6F">
      <w:pPr>
        <w:spacing w:line="610" w:lineRule="exact"/>
        <w:ind w:firstLine="643"/>
        <w:rPr>
          <w:rFonts w:ascii="Times New Roman" w:hAnsi="Times New Roman" w:cs="Times New Roman"/>
          <w:sz w:val="32"/>
          <w:szCs w:val="32"/>
        </w:rPr>
      </w:pPr>
      <w:r>
        <w:rPr>
          <w:rFonts w:ascii="Times New Roman" w:hAnsi="Times New Roman" w:cs="Times New Roman"/>
          <w:b/>
          <w:bCs/>
          <w:color w:val="0C0C0C"/>
          <w:sz w:val="32"/>
          <w:szCs w:val="32"/>
          <w:shd w:val="clear" w:color="auto" w:fill="FFFFFF"/>
        </w:rPr>
        <w:t>完善社会福利服务体系</w:t>
      </w:r>
      <w:r>
        <w:rPr>
          <w:rFonts w:ascii="Times New Roman" w:hAnsi="Times New Roman" w:cs="Times New Roman"/>
          <w:b/>
          <w:color w:val="0C0C0C"/>
          <w:sz w:val="32"/>
          <w:szCs w:val="32"/>
          <w:shd w:val="clear" w:color="auto" w:fill="FFFFFF"/>
        </w:rPr>
        <w:t>。</w:t>
      </w:r>
      <w:r>
        <w:rPr>
          <w:rFonts w:ascii="Times New Roman" w:hAnsi="Times New Roman" w:cs="Times New Roman"/>
          <w:color w:val="0C0C0C"/>
          <w:sz w:val="32"/>
          <w:szCs w:val="32"/>
          <w:shd w:val="clear" w:color="auto" w:fill="FFFFFF"/>
        </w:rPr>
        <w:t>积极应对人口老龄化问题，</w:t>
      </w:r>
      <w:r>
        <w:rPr>
          <w:rFonts w:ascii="Times New Roman" w:hAnsi="Times New Roman" w:cs="Times New Roman"/>
          <w:color w:val="0C0C0C"/>
          <w:sz w:val="32"/>
          <w:szCs w:val="32"/>
        </w:rPr>
        <w:t>探索新型养老方式，</w:t>
      </w:r>
      <w:r>
        <w:rPr>
          <w:rFonts w:ascii="Times New Roman" w:hAnsi="Times New Roman" w:cs="Times New Roman"/>
          <w:color w:val="0C0C0C"/>
          <w:sz w:val="32"/>
          <w:szCs w:val="32"/>
          <w:shd w:val="clear" w:color="auto" w:fill="FFFFFF"/>
        </w:rPr>
        <w:t>完善养老政策，</w:t>
      </w:r>
      <w:r>
        <w:rPr>
          <w:rFonts w:ascii="Times New Roman" w:hAnsi="Times New Roman" w:cs="Times New Roman"/>
          <w:sz w:val="32"/>
          <w:szCs w:val="32"/>
        </w:rPr>
        <w:t>推进医养结合，机构养老床位达到35张/千人，</w:t>
      </w:r>
      <w:r>
        <w:rPr>
          <w:rFonts w:ascii="Times New Roman" w:hAnsi="Times New Roman" w:cs="Times New Roman"/>
          <w:color w:val="0C0C0C"/>
          <w:sz w:val="32"/>
          <w:szCs w:val="32"/>
          <w:shd w:val="clear" w:color="auto" w:fill="FFFFFF"/>
        </w:rPr>
        <w:t>社区居家养老服务中心和农村幸福院建设实现100%全覆盖。鼓励和引导社会力量参与养老产业发展，</w:t>
      </w:r>
      <w:r>
        <w:rPr>
          <w:rFonts w:ascii="Times New Roman" w:hAnsi="Times New Roman" w:cs="Times New Roman"/>
          <w:sz w:val="32"/>
          <w:szCs w:val="32"/>
        </w:rPr>
        <w:t>健全社会化养老服务机制，</w:t>
      </w:r>
      <w:r>
        <w:rPr>
          <w:rFonts w:ascii="Times New Roman" w:hAnsi="Times New Roman" w:cs="Times New Roman"/>
          <w:kern w:val="0"/>
          <w:sz w:val="32"/>
          <w:szCs w:val="32"/>
        </w:rPr>
        <w:t>依托宁夏颐养康城养老产业园、宝丰健康教育养老城、国龙医院老年公寓</w:t>
      </w:r>
      <w:r>
        <w:rPr>
          <w:rFonts w:ascii="Times New Roman" w:hAnsi="Times New Roman" w:cs="Times New Roman"/>
          <w:sz w:val="32"/>
          <w:szCs w:val="32"/>
        </w:rPr>
        <w:t>，打造专业化养老机构与养老社区，提高为老服务水平，发展养老产业。</w:t>
      </w:r>
      <w:r>
        <w:rPr>
          <w:rFonts w:ascii="Times New Roman" w:hAnsi="Times New Roman" w:cs="Times New Roman"/>
          <w:color w:val="0C0C0C"/>
          <w:sz w:val="32"/>
          <w:szCs w:val="32"/>
          <w:shd w:val="clear" w:color="auto" w:fill="FFFFFF"/>
        </w:rPr>
        <w:t>加强兴庆区残疾人康复中心、社区康复站建设力度，保障残疾人享有基本公共服务。</w:t>
      </w:r>
      <w:r>
        <w:rPr>
          <w:rFonts w:ascii="Times New Roman" w:hAnsi="Times New Roman" w:cs="Times New Roman"/>
          <w:sz w:val="32"/>
          <w:szCs w:val="32"/>
        </w:rPr>
        <w:t>推动妇女儿童事业全面发展。</w:t>
      </w:r>
    </w:p>
    <w:p w14:paraId="4773D3EF">
      <w:pPr>
        <w:pStyle w:val="3"/>
        <w:spacing w:before="312" w:beforeLines="100" w:after="156" w:afterLines="50" w:line="520" w:lineRule="exact"/>
        <w:ind w:firstLine="0" w:firstLineChars="0"/>
        <w:jc w:val="center"/>
        <w:rPr>
          <w:rFonts w:ascii="黑体" w:hAnsi="Times New Roman" w:eastAsia="黑体" w:cs="Times New Roman"/>
          <w:b w:val="0"/>
        </w:rPr>
      </w:pPr>
      <w:bookmarkStart w:id="140" w:name="_Toc437344133"/>
      <w:bookmarkStart w:id="141" w:name="_Toc439358337"/>
      <w:r>
        <w:rPr>
          <w:rFonts w:ascii="黑体" w:hAnsi="Times New Roman" w:eastAsia="黑体" w:cs="Times New Roman"/>
          <w:b w:val="0"/>
        </w:rPr>
        <w:t xml:space="preserve">第六节  </w:t>
      </w:r>
      <w:bookmarkEnd w:id="140"/>
      <w:r>
        <w:rPr>
          <w:rFonts w:ascii="黑体" w:hAnsi="Times New Roman" w:eastAsia="黑体" w:cs="Times New Roman"/>
          <w:b w:val="0"/>
        </w:rPr>
        <w:t>提高社会治理水平</w:t>
      </w:r>
      <w:bookmarkEnd w:id="141"/>
    </w:p>
    <w:p w14:paraId="2FF9229A">
      <w:pPr>
        <w:adjustRightInd w:val="0"/>
        <w:snapToGrid w:val="0"/>
        <w:spacing w:line="610" w:lineRule="exact"/>
        <w:ind w:firstLine="643"/>
        <w:rPr>
          <w:rFonts w:ascii="Times New Roman" w:hAnsi="Times New Roman" w:cs="Times New Roman"/>
          <w:color w:val="0C0C0C"/>
          <w:sz w:val="32"/>
          <w:szCs w:val="32"/>
        </w:rPr>
      </w:pPr>
      <w:r>
        <w:rPr>
          <w:rFonts w:ascii="Times New Roman" w:hAnsi="Times New Roman" w:cs="Times New Roman"/>
          <w:b/>
          <w:sz w:val="32"/>
          <w:szCs w:val="32"/>
        </w:rPr>
        <w:t>提升城乡社区服务水平。</w:t>
      </w:r>
      <w:r>
        <w:rPr>
          <w:rFonts w:ascii="Times New Roman" w:hAnsi="Times New Roman" w:cs="Times New Roman"/>
          <w:sz w:val="32"/>
          <w:szCs w:val="32"/>
        </w:rPr>
        <w:t>坚持和完善基层民主建设，</w:t>
      </w:r>
      <w:r>
        <w:rPr>
          <w:rFonts w:ascii="Times New Roman" w:hAnsi="Times New Roman" w:cs="Times New Roman"/>
          <w:color w:val="0C0C0C"/>
          <w:sz w:val="32"/>
          <w:szCs w:val="32"/>
        </w:rPr>
        <w:t>加大社区标准化建设力度，力争2020年城市和农村社区标准化建设100%达标。</w:t>
      </w:r>
      <w:r>
        <w:rPr>
          <w:rFonts w:ascii="Times New Roman" w:hAnsi="Times New Roman" w:cs="Times New Roman"/>
          <w:sz w:val="32"/>
          <w:szCs w:val="32"/>
        </w:rPr>
        <w:t>深入推进城乡社区治理机制体制创新，依托智慧城市信息化建设和网格化服务平台，建立完善信息联通共享的社区公共服务综合信息平台。巩固</w:t>
      </w:r>
      <w:r>
        <w:rPr>
          <w:rFonts w:hint="eastAsia" w:ascii="仿宋_GB2312" w:hAnsi="Times New Roman" w:cs="Times New Roman"/>
          <w:color w:val="0C0C0C"/>
          <w:sz w:val="32"/>
          <w:szCs w:val="32"/>
        </w:rPr>
        <w:t>“</w:t>
      </w:r>
      <w:r>
        <w:rPr>
          <w:rFonts w:ascii="Times New Roman" w:hAnsi="Times New Roman" w:cs="Times New Roman"/>
          <w:color w:val="0C0C0C"/>
          <w:sz w:val="32"/>
          <w:szCs w:val="32"/>
        </w:rPr>
        <w:t>11125</w:t>
      </w:r>
      <w:r>
        <w:rPr>
          <w:rFonts w:hint="eastAsia" w:ascii="仿宋_GB2312" w:hAnsi="Times New Roman" w:cs="Times New Roman"/>
          <w:color w:val="0C0C0C"/>
          <w:sz w:val="32"/>
          <w:szCs w:val="32"/>
        </w:rPr>
        <w:t>”和</w:t>
      </w:r>
      <w:r>
        <w:rPr>
          <w:rFonts w:ascii="Times New Roman" w:hAnsi="Times New Roman" w:cs="Times New Roman"/>
          <w:color w:val="0C0C0C"/>
          <w:sz w:val="32"/>
          <w:szCs w:val="32"/>
        </w:rPr>
        <w:t>谐社区创建成果，推进星级和谐社区创建，建设智慧社区服务站。</w:t>
      </w:r>
      <w:r>
        <w:rPr>
          <w:rFonts w:ascii="Times New Roman" w:hAnsi="Times New Roman" w:cs="Times New Roman"/>
          <w:sz w:val="32"/>
          <w:szCs w:val="32"/>
        </w:rPr>
        <w:t>积极拓展医疗、文化、就业、托幼、扶老、助残等惠民服务功能和法制、警务、</w:t>
      </w:r>
      <w:r>
        <w:rPr>
          <w:rFonts w:ascii="Times New Roman" w:hAnsi="Times New Roman" w:cs="Times New Roman"/>
          <w:color w:val="0C0C0C"/>
          <w:sz w:val="32"/>
          <w:szCs w:val="32"/>
        </w:rPr>
        <w:t>食品监督、安全生产等公共服务职能</w:t>
      </w:r>
      <w:r>
        <w:rPr>
          <w:rFonts w:ascii="Times New Roman" w:hAnsi="Times New Roman" w:cs="Times New Roman"/>
          <w:sz w:val="32"/>
          <w:szCs w:val="32"/>
        </w:rPr>
        <w:t>，</w:t>
      </w:r>
      <w:r>
        <w:rPr>
          <w:rFonts w:ascii="Times New Roman" w:hAnsi="Times New Roman" w:cs="Times New Roman"/>
          <w:color w:val="0C0C0C"/>
          <w:sz w:val="32"/>
          <w:szCs w:val="32"/>
        </w:rPr>
        <w:t>提升社区综合治理水平，构建全方位的治理体系。</w:t>
      </w:r>
    </w:p>
    <w:p w14:paraId="6899B490">
      <w:pPr>
        <w:adjustRightInd w:val="0"/>
        <w:snapToGrid w:val="0"/>
        <w:spacing w:line="610" w:lineRule="exact"/>
        <w:ind w:firstLine="643"/>
        <w:rPr>
          <w:rFonts w:ascii="Times New Roman" w:hAnsi="Times New Roman" w:cs="Times New Roman"/>
          <w:sz w:val="32"/>
          <w:szCs w:val="32"/>
        </w:rPr>
      </w:pPr>
      <w:r>
        <w:rPr>
          <w:rFonts w:ascii="Times New Roman" w:hAnsi="Times New Roman" w:cs="Times New Roman"/>
          <w:b/>
          <w:sz w:val="32"/>
          <w:szCs w:val="32"/>
        </w:rPr>
        <w:t>完善和谐社区治理机制。</w:t>
      </w:r>
      <w:r>
        <w:rPr>
          <w:rFonts w:ascii="Times New Roman" w:hAnsi="Times New Roman" w:cs="Times New Roman"/>
          <w:sz w:val="32"/>
          <w:szCs w:val="32"/>
        </w:rPr>
        <w:t>全面深化星级和谐社区建设，全面开展星级和谐社区创建，提升社区服务水平。</w:t>
      </w:r>
      <w:r>
        <w:rPr>
          <w:rFonts w:ascii="Times New Roman" w:hAnsi="Times New Roman" w:cs="Times New Roman"/>
          <w:color w:val="0C0C0C"/>
          <w:sz w:val="32"/>
          <w:szCs w:val="32"/>
        </w:rPr>
        <w:t>吸引社会力量参与社区建设，</w:t>
      </w:r>
      <w:r>
        <w:rPr>
          <w:rFonts w:ascii="Times New Roman" w:hAnsi="Times New Roman" w:cs="Times New Roman"/>
          <w:sz w:val="32"/>
          <w:szCs w:val="32"/>
        </w:rPr>
        <w:t>建立以社区综合服务设施为主体、各类专项服务设施相配套的综合性、多功能的社区服务体系，</w:t>
      </w:r>
      <w:r>
        <w:rPr>
          <w:rFonts w:ascii="Times New Roman" w:hAnsi="Times New Roman" w:cs="Times New Roman"/>
          <w:color w:val="0C0C0C"/>
          <w:sz w:val="32"/>
          <w:szCs w:val="32"/>
        </w:rPr>
        <w:t>大力发展社</w:t>
      </w:r>
      <w:r>
        <w:rPr>
          <w:rFonts w:hint="eastAsia" w:ascii="仿宋_GB2312" w:hAnsi="Times New Roman" w:cs="Times New Roman"/>
          <w:color w:val="0C0C0C"/>
          <w:sz w:val="32"/>
          <w:szCs w:val="32"/>
        </w:rPr>
        <w:t>区商业和服务业。</w:t>
      </w:r>
      <w:r>
        <w:rPr>
          <w:rFonts w:hint="eastAsia" w:ascii="仿宋_GB2312" w:hAnsi="Times New Roman" w:cs="Times New Roman"/>
          <w:sz w:val="32"/>
          <w:szCs w:val="32"/>
        </w:rPr>
        <w:t>健全社区、社工、社会组织“三社联动”工作</w:t>
      </w:r>
      <w:r>
        <w:rPr>
          <w:rFonts w:ascii="Times New Roman" w:hAnsi="Times New Roman" w:cs="Times New Roman"/>
          <w:sz w:val="32"/>
          <w:szCs w:val="32"/>
        </w:rPr>
        <w:t>机制，建立以社区为平台，社会组织为载体、社会工作专业人才和志愿者等力量为支撑的社区服务管理新机制，社会组织的年增长率达到8%。加强社区人才队伍建设。</w:t>
      </w:r>
    </w:p>
    <w:p w14:paraId="2ADF6E3B">
      <w:pPr>
        <w:adjustRightInd w:val="0"/>
        <w:snapToGrid w:val="0"/>
        <w:spacing w:after="156" w:afterLines="50" w:line="610" w:lineRule="exact"/>
        <w:ind w:firstLine="643"/>
        <w:rPr>
          <w:rFonts w:hint="eastAsia" w:ascii="仿宋_GB2312" w:hAnsi="Times New Roman" w:cs="Times New Roman"/>
          <w:sz w:val="32"/>
          <w:szCs w:val="32"/>
        </w:rPr>
      </w:pPr>
      <w:r>
        <w:rPr>
          <w:rFonts w:ascii="Times New Roman" w:hAnsi="Times New Roman" w:cs="Times New Roman"/>
          <w:b/>
          <w:sz w:val="32"/>
          <w:szCs w:val="32"/>
        </w:rPr>
        <w:t>深化平安兴庆建设。</w:t>
      </w:r>
      <w:r>
        <w:rPr>
          <w:rFonts w:ascii="Times New Roman" w:hAnsi="Times New Roman" w:cs="Times New Roman"/>
          <w:bCs/>
          <w:sz w:val="32"/>
          <w:szCs w:val="32"/>
        </w:rPr>
        <w:t>继续推进司法所规范化建设，解决7个基层司法所的阵地建设。全面落实居住证制度，建立居住证与教育、卫生、就业等基本公共服务的衔接机制，逐步实现并轨统筹。</w:t>
      </w:r>
      <w:r>
        <w:rPr>
          <w:rFonts w:ascii="Times New Roman" w:hAnsi="Times New Roman" w:cs="Times New Roman"/>
          <w:sz w:val="32"/>
          <w:szCs w:val="32"/>
        </w:rPr>
        <w:t>积极推进社区民警专职化，实施社区警务</w:t>
      </w:r>
      <w:r>
        <w:rPr>
          <w:rFonts w:hint="eastAsia" w:ascii="仿宋_GB2312" w:hAnsi="Times New Roman" w:cs="Times New Roman"/>
          <w:sz w:val="32"/>
          <w:szCs w:val="32"/>
        </w:rPr>
        <w:t>“</w:t>
      </w:r>
      <w:r>
        <w:rPr>
          <w:rFonts w:ascii="Times New Roman" w:hAnsi="Times New Roman" w:cs="Times New Roman"/>
          <w:sz w:val="32"/>
          <w:szCs w:val="32"/>
        </w:rPr>
        <w:t>1+N</w:t>
      </w:r>
      <w:r>
        <w:rPr>
          <w:rFonts w:hint="eastAsia" w:ascii="仿宋_GB2312" w:hAnsi="Times New Roman" w:cs="Times New Roman"/>
          <w:sz w:val="32"/>
          <w:szCs w:val="32"/>
        </w:rPr>
        <w:t>”</w:t>
      </w:r>
      <w:r>
        <w:rPr>
          <w:rFonts w:ascii="Times New Roman" w:hAnsi="Times New Roman" w:cs="Times New Roman"/>
          <w:sz w:val="32"/>
          <w:szCs w:val="32"/>
        </w:rPr>
        <w:t>工程。健全完善情报信息搜集、矛盾纠纷排查化解、突发事件应急处置、涉稳重点人员管控工作机制，努力提升发现预警、常态管控、化解处置能力水平。完善城乡公共消防基础设施建设，改进消防监督管理模式，健全部门协调联动机制，建立重大火灾隐患分级治理机制和应急救援预案。加强安全生产大检查和专项整治，落实各级安全监管部门的综合监管和各有关部门的</w:t>
      </w:r>
      <w:r>
        <w:rPr>
          <w:rFonts w:hint="eastAsia" w:ascii="仿宋_GB2312" w:hAnsi="Times New Roman" w:cs="Times New Roman"/>
          <w:sz w:val="32"/>
          <w:szCs w:val="32"/>
        </w:rPr>
        <w:t>专业监管责任，建立完善“覆盖全面、监管到位、监督有力”的政府监管体系。抓好防灾减灾工作。</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2"/>
      </w:tblGrid>
      <w:tr w14:paraId="0171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center"/>
          </w:tcPr>
          <w:p w14:paraId="7B9FF2C0">
            <w:pPr>
              <w:pStyle w:val="4"/>
              <w:spacing w:line="240" w:lineRule="auto"/>
              <w:ind w:firstLine="0" w:firstLineChars="0"/>
              <w:jc w:val="center"/>
              <w:rPr>
                <w:rFonts w:hint="eastAsia" w:ascii="仿宋_GB2312" w:hAnsi="Times New Roman" w:eastAsia="仿宋_GB2312" w:cs="Times New Roman"/>
                <w:b/>
                <w:sz w:val="24"/>
                <w:szCs w:val="24"/>
              </w:rPr>
            </w:pPr>
            <w:bookmarkStart w:id="142" w:name="_Toc441134514"/>
            <w:r>
              <w:rPr>
                <w:rFonts w:hint="eastAsia" w:ascii="仿宋_GB2312" w:hAnsi="Times New Roman" w:eastAsia="仿宋_GB2312" w:cs="Times New Roman"/>
                <w:b/>
                <w:sz w:val="24"/>
                <w:szCs w:val="24"/>
              </w:rPr>
              <w:t>专栏</w:t>
            </w:r>
            <w:r>
              <w:rPr>
                <w:rFonts w:hint="eastAsia" w:ascii="仿宋_GB2312" w:hAnsi="Times New Roman" w:eastAsia="仿宋_GB2312" w:cs="Times New Roman"/>
                <w:b/>
                <w:sz w:val="24"/>
                <w:szCs w:val="24"/>
              </w:rPr>
              <w:fldChar w:fldCharType="begin"/>
            </w:r>
            <w:r>
              <w:rPr>
                <w:rFonts w:hint="eastAsia" w:ascii="仿宋_GB2312" w:hAnsi="Times New Roman" w:eastAsia="仿宋_GB2312" w:cs="Times New Roman"/>
                <w:b/>
                <w:sz w:val="24"/>
                <w:szCs w:val="24"/>
              </w:rPr>
              <w:instrText xml:space="preserve"> SEQ 专栏 \* ARABIC </w:instrText>
            </w:r>
            <w:r>
              <w:rPr>
                <w:rFonts w:hint="eastAsia" w:ascii="仿宋_GB2312" w:hAnsi="Times New Roman" w:eastAsia="仿宋_GB2312" w:cs="Times New Roman"/>
                <w:b/>
                <w:sz w:val="24"/>
                <w:szCs w:val="24"/>
              </w:rPr>
              <w:fldChar w:fldCharType="separate"/>
            </w:r>
            <w:r>
              <w:rPr>
                <w:rFonts w:ascii="仿宋_GB2312" w:hAnsi="Times New Roman" w:eastAsia="仿宋_GB2312" w:cs="Times New Roman"/>
                <w:b/>
                <w:sz w:val="24"/>
                <w:szCs w:val="24"/>
              </w:rPr>
              <w:t>13</w:t>
            </w:r>
            <w:r>
              <w:rPr>
                <w:rFonts w:hint="eastAsia" w:ascii="仿宋_GB2312" w:hAnsi="Times New Roman" w:eastAsia="仿宋_GB2312" w:cs="Times New Roman"/>
                <w:b/>
                <w:sz w:val="24"/>
                <w:szCs w:val="24"/>
              </w:rPr>
              <w:fldChar w:fldCharType="end"/>
            </w:r>
            <w:r>
              <w:rPr>
                <w:rFonts w:hint="eastAsia" w:ascii="仿宋_GB2312" w:hAnsi="Times New Roman" w:eastAsia="仿宋_GB2312" w:cs="Times New Roman"/>
                <w:b/>
                <w:sz w:val="24"/>
                <w:szCs w:val="24"/>
              </w:rPr>
              <w:t xml:space="preserve">   兴庆区社会事业“十三五”重大项目</w:t>
            </w:r>
            <w:bookmarkEnd w:id="142"/>
          </w:p>
        </w:tc>
      </w:tr>
      <w:tr w14:paraId="2916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32" w:type="dxa"/>
            <w:noWrap w:val="0"/>
            <w:vAlign w:val="top"/>
          </w:tcPr>
          <w:p w14:paraId="4984A755">
            <w:pPr>
              <w:spacing w:line="240" w:lineRule="exact"/>
              <w:ind w:firstLine="482"/>
              <w:rPr>
                <w:rFonts w:hint="eastAsia" w:ascii="Times New Roman" w:hAnsi="Times New Roman" w:cs="Times New Roman"/>
                <w:b/>
                <w:sz w:val="24"/>
                <w:szCs w:val="24"/>
              </w:rPr>
            </w:pPr>
          </w:p>
          <w:p w14:paraId="073B71A7">
            <w:pPr>
              <w:spacing w:line="240" w:lineRule="auto"/>
              <w:ind w:firstLine="482"/>
              <w:rPr>
                <w:rFonts w:ascii="Times New Roman" w:hAnsi="Times New Roman" w:cs="Times New Roman"/>
                <w:b/>
                <w:sz w:val="24"/>
                <w:szCs w:val="24"/>
              </w:rPr>
            </w:pPr>
            <w:r>
              <w:rPr>
                <w:rFonts w:ascii="Times New Roman" w:hAnsi="Times New Roman" w:cs="Times New Roman"/>
                <w:b/>
                <w:sz w:val="24"/>
                <w:szCs w:val="24"/>
              </w:rPr>
              <w:t>教育：</w:t>
            </w:r>
          </w:p>
          <w:p w14:paraId="2B829755">
            <w:pPr>
              <w:spacing w:line="240" w:lineRule="auto"/>
              <w:ind w:firstLine="480"/>
              <w:rPr>
                <w:rFonts w:ascii="Times New Roman" w:hAnsi="Times New Roman" w:cs="Times New Roman"/>
                <w:sz w:val="24"/>
                <w:szCs w:val="24"/>
              </w:rPr>
            </w:pPr>
            <w:r>
              <w:rPr>
                <w:rFonts w:ascii="Times New Roman" w:hAnsi="Times New Roman" w:cs="Times New Roman"/>
                <w:sz w:val="24"/>
                <w:szCs w:val="24"/>
              </w:rPr>
              <w:t>（1）学校新建、改建、迁建项目：重点建设以大新康居安置区幼儿园、银川市第五幼儿园分园为代表的商住小区配套幼儿园、公办幼儿园新建项目；以兴庆区十小、银川三中为代表的中小学迁建项目，以兴庆区三十一小为代表的小学新建项目，以兴庆区回民实验小学为代表的中小学扩建项目，以兴庆区十六小为代表的小学翻建项目。</w:t>
            </w:r>
          </w:p>
          <w:p w14:paraId="655FBED1">
            <w:pPr>
              <w:spacing w:line="240" w:lineRule="auto"/>
              <w:ind w:firstLine="480"/>
              <w:rPr>
                <w:rFonts w:ascii="Times New Roman" w:hAnsi="Times New Roman" w:cs="Times New Roman"/>
                <w:sz w:val="24"/>
                <w:szCs w:val="24"/>
              </w:rPr>
            </w:pPr>
            <w:r>
              <w:rPr>
                <w:rFonts w:ascii="Times New Roman" w:hAnsi="Times New Roman" w:cs="Times New Roman"/>
                <w:sz w:val="24"/>
                <w:szCs w:val="24"/>
              </w:rPr>
              <w:t>（2）智慧教育建设：建设完成网络远程教学系统、慕课公开课系统、试题库系统、资产管理系统、校园安防管理系统、数字图书馆系统。实施智慧教室的扩面工程，进一步完成中小学学校无线WIFI无死角覆盖。</w:t>
            </w:r>
          </w:p>
          <w:p w14:paraId="6672B13C">
            <w:pPr>
              <w:spacing w:line="240" w:lineRule="auto"/>
              <w:ind w:firstLine="480"/>
              <w:rPr>
                <w:rFonts w:ascii="Times New Roman" w:hAnsi="Times New Roman" w:cs="Times New Roman"/>
                <w:sz w:val="24"/>
                <w:szCs w:val="24"/>
              </w:rPr>
            </w:pPr>
            <w:r>
              <w:rPr>
                <w:rFonts w:ascii="Times New Roman" w:hAnsi="Times New Roman" w:cs="Times New Roman"/>
                <w:sz w:val="24"/>
                <w:szCs w:val="24"/>
              </w:rPr>
              <w:t>（3）兴庆区职业技能培训基地：建设教学楼、宿舍楼、阅览室、实训车间等设施，引导扶持民办培训机构采用市场化运作，开展职业技能培训，提升拓宽就业渠道，形成兴庆区职业技能实训中心。</w:t>
            </w:r>
          </w:p>
          <w:p w14:paraId="11DC614C">
            <w:pPr>
              <w:spacing w:line="240" w:lineRule="auto"/>
              <w:ind w:firstLine="482"/>
              <w:rPr>
                <w:rFonts w:hint="eastAsia" w:ascii="Times New Roman" w:hAnsi="Times New Roman" w:cs="Times New Roman"/>
                <w:b/>
                <w:sz w:val="24"/>
                <w:szCs w:val="24"/>
              </w:rPr>
            </w:pPr>
          </w:p>
          <w:p w14:paraId="0A16AB57">
            <w:pPr>
              <w:spacing w:line="240" w:lineRule="auto"/>
              <w:ind w:firstLine="482"/>
              <w:rPr>
                <w:rFonts w:ascii="Times New Roman" w:hAnsi="Times New Roman" w:cs="Times New Roman"/>
                <w:b/>
                <w:sz w:val="24"/>
                <w:szCs w:val="24"/>
              </w:rPr>
            </w:pPr>
            <w:r>
              <w:rPr>
                <w:rFonts w:ascii="Times New Roman" w:hAnsi="Times New Roman" w:cs="Times New Roman"/>
                <w:b/>
                <w:sz w:val="24"/>
                <w:szCs w:val="24"/>
              </w:rPr>
              <w:t>医疗卫生：</w:t>
            </w:r>
          </w:p>
          <w:p w14:paraId="4F092AAF">
            <w:pPr>
              <w:spacing w:line="240" w:lineRule="auto"/>
              <w:ind w:firstLine="480"/>
              <w:rPr>
                <w:rFonts w:ascii="Times New Roman" w:hAnsi="Times New Roman" w:cs="Times New Roman"/>
                <w:sz w:val="24"/>
                <w:szCs w:val="24"/>
              </w:rPr>
            </w:pPr>
            <w:r>
              <w:rPr>
                <w:rFonts w:ascii="Times New Roman" w:hAnsi="Times New Roman" w:cs="Times New Roman"/>
                <w:sz w:val="24"/>
                <w:szCs w:val="24"/>
              </w:rPr>
              <w:t>（1）兴庆区中回医院：建于通贵乡，推动中医药科技进步，促进中医药回医事业健康、持续、快速发展，满足广大群众日益增长的健康和医疗需求。</w:t>
            </w:r>
          </w:p>
          <w:p w14:paraId="63B32760">
            <w:pPr>
              <w:spacing w:line="240" w:lineRule="auto"/>
              <w:ind w:firstLine="480"/>
              <w:rPr>
                <w:rFonts w:ascii="Times New Roman" w:hAnsi="Times New Roman" w:cs="Times New Roman"/>
                <w:sz w:val="24"/>
                <w:szCs w:val="24"/>
              </w:rPr>
            </w:pPr>
            <w:r>
              <w:rPr>
                <w:rFonts w:ascii="Times New Roman" w:hAnsi="Times New Roman" w:cs="Times New Roman"/>
                <w:sz w:val="24"/>
                <w:szCs w:val="24"/>
              </w:rPr>
              <w:t>（2）兴庆区康复理疗中心：建于通贵乡，满足区域居民的康复、理疗保健要求，缓解目前养老康复机构不足的现状。</w:t>
            </w:r>
          </w:p>
          <w:p w14:paraId="2482EC89">
            <w:pPr>
              <w:spacing w:line="240" w:lineRule="auto"/>
              <w:ind w:firstLine="480"/>
              <w:rPr>
                <w:rFonts w:ascii="Times New Roman" w:hAnsi="Times New Roman" w:cs="Times New Roman"/>
                <w:sz w:val="24"/>
                <w:szCs w:val="24"/>
              </w:rPr>
            </w:pPr>
            <w:r>
              <w:rPr>
                <w:rFonts w:ascii="Times New Roman" w:hAnsi="Times New Roman" w:cs="Times New Roman"/>
                <w:sz w:val="24"/>
                <w:szCs w:val="24"/>
              </w:rPr>
              <w:t>（2）社区卫生服务中心：新建清河南街、新华街、富宁街、解放西街、凤凰北街、前进街、银古路7个社区卫生服务中心，满足居民基本医疗保健需求。</w:t>
            </w:r>
          </w:p>
          <w:p w14:paraId="79D3E2BE">
            <w:pPr>
              <w:spacing w:line="240" w:lineRule="auto"/>
              <w:ind w:firstLine="480"/>
              <w:rPr>
                <w:rFonts w:ascii="Times New Roman" w:hAnsi="Times New Roman" w:cs="Times New Roman"/>
                <w:sz w:val="24"/>
                <w:szCs w:val="24"/>
              </w:rPr>
            </w:pPr>
            <w:r>
              <w:rPr>
                <w:rFonts w:ascii="Times New Roman" w:hAnsi="Times New Roman" w:cs="Times New Roman"/>
                <w:sz w:val="24"/>
                <w:szCs w:val="24"/>
              </w:rPr>
              <w:t>（3）兴庆区人民医院：填补市辖区没有县（区）级医院空白，提升兴庆区群众就医环境。</w:t>
            </w:r>
          </w:p>
          <w:p w14:paraId="742C15CE">
            <w:pPr>
              <w:spacing w:line="240" w:lineRule="auto"/>
              <w:ind w:firstLine="482"/>
              <w:rPr>
                <w:rFonts w:ascii="Times New Roman" w:hAnsi="Times New Roman" w:cs="Times New Roman"/>
                <w:b/>
                <w:sz w:val="24"/>
                <w:szCs w:val="24"/>
              </w:rPr>
            </w:pPr>
            <w:r>
              <w:rPr>
                <w:rFonts w:ascii="Times New Roman" w:hAnsi="Times New Roman" w:cs="Times New Roman"/>
                <w:b/>
                <w:sz w:val="24"/>
                <w:szCs w:val="24"/>
              </w:rPr>
              <w:t>养老事业：</w:t>
            </w:r>
          </w:p>
          <w:p w14:paraId="2C370B4B">
            <w:pPr>
              <w:spacing w:line="240" w:lineRule="auto"/>
              <w:ind w:firstLine="480"/>
              <w:rPr>
                <w:rFonts w:ascii="Times New Roman" w:hAnsi="Times New Roman" w:cs="Times New Roman"/>
                <w:sz w:val="24"/>
                <w:szCs w:val="24"/>
              </w:rPr>
            </w:pPr>
            <w:r>
              <w:rPr>
                <w:rFonts w:ascii="Times New Roman" w:hAnsi="Times New Roman" w:cs="Times New Roman"/>
                <w:sz w:val="24"/>
                <w:szCs w:val="24"/>
              </w:rPr>
              <w:t>（1）宝丰健康教育养老城：建设高端公寓居住区、三甲医院服务医疗保障区、专业健康管家服务保健区、高端教育配套服务区、多功能文化娱乐服务区、专业营养餐饮区六大功能区，发展高端医疗、健康养老产业。</w:t>
            </w:r>
          </w:p>
          <w:p w14:paraId="24F2707B">
            <w:pPr>
              <w:spacing w:line="240" w:lineRule="auto"/>
              <w:ind w:firstLine="480"/>
              <w:rPr>
                <w:rFonts w:ascii="Times New Roman" w:hAnsi="Times New Roman" w:cs="Times New Roman"/>
                <w:sz w:val="24"/>
                <w:szCs w:val="24"/>
              </w:rPr>
            </w:pPr>
            <w:r>
              <w:rPr>
                <w:rFonts w:ascii="Times New Roman" w:hAnsi="Times New Roman" w:cs="Times New Roman"/>
                <w:sz w:val="24"/>
                <w:szCs w:val="24"/>
              </w:rPr>
              <w:t>（2）国龙医院老年公寓：建设老年公寓、护理院、康复治疗楼，推进养老、康复保健发展。</w:t>
            </w:r>
          </w:p>
          <w:p w14:paraId="55114722">
            <w:pPr>
              <w:spacing w:line="240" w:lineRule="auto"/>
              <w:ind w:firstLine="480"/>
              <w:rPr>
                <w:rFonts w:ascii="Times New Roman" w:hAnsi="Times New Roman" w:cs="Times New Roman"/>
                <w:sz w:val="24"/>
                <w:szCs w:val="24"/>
              </w:rPr>
            </w:pPr>
            <w:r>
              <w:rPr>
                <w:rFonts w:ascii="Times New Roman" w:hAnsi="Times New Roman" w:cs="Times New Roman"/>
                <w:sz w:val="24"/>
                <w:szCs w:val="24"/>
              </w:rPr>
              <w:t>（3）通贵乡老年综合福利服务中心：满足三无、五保、鳏寡孤独和残疾人员的养老需求，推进通贵乡养老产业发展。</w:t>
            </w:r>
          </w:p>
        </w:tc>
      </w:tr>
    </w:tbl>
    <w:p w14:paraId="7E5A135D">
      <w:pPr>
        <w:pStyle w:val="2"/>
        <w:spacing w:before="0" w:beforeLines="0" w:after="0" w:afterLines="0" w:line="240" w:lineRule="exact"/>
        <w:ind w:firstLine="0" w:firstLineChars="0"/>
        <w:jc w:val="center"/>
        <w:rPr>
          <w:rFonts w:hint="eastAsia" w:ascii="Times New Roman" w:hAnsi="Times New Roman" w:cs="Times New Roman"/>
        </w:rPr>
      </w:pPr>
      <w:r>
        <w:rPr>
          <w:rFonts w:ascii="Times New Roman" w:hAnsi="Times New Roman" w:cs="Times New Roman"/>
        </w:rPr>
        <w:br w:type="page"/>
      </w:r>
      <w:bookmarkEnd w:id="122"/>
      <w:bookmarkEnd w:id="123"/>
      <w:bookmarkStart w:id="143" w:name="_Toc439358338"/>
      <w:bookmarkStart w:id="144" w:name="_Toc438133226"/>
      <w:bookmarkStart w:id="145" w:name="_Toc438132005"/>
    </w:p>
    <w:p w14:paraId="1A34A645">
      <w:pPr>
        <w:pStyle w:val="2"/>
        <w:spacing w:before="156" w:beforeLines="50" w:after="0" w:afterLines="0" w:line="520" w:lineRule="exact"/>
        <w:ind w:firstLine="0" w:firstLineChars="0"/>
        <w:jc w:val="center"/>
        <w:rPr>
          <w:rFonts w:eastAsia="方正小标宋_GBK"/>
          <w:b w:val="0"/>
        </w:rPr>
      </w:pPr>
      <w:r>
        <w:rPr>
          <w:rFonts w:eastAsia="方正小标宋_GBK"/>
          <w:b w:val="0"/>
        </w:rPr>
        <w:t>第八章  改革开放，优化提升发展环境</w:t>
      </w:r>
      <w:bookmarkEnd w:id="143"/>
    </w:p>
    <w:p w14:paraId="590788AA">
      <w:pPr>
        <w:pStyle w:val="3"/>
        <w:spacing w:before="312" w:beforeLines="100" w:after="156" w:afterLines="50" w:line="520" w:lineRule="exact"/>
        <w:ind w:firstLine="0" w:firstLineChars="0"/>
        <w:jc w:val="center"/>
        <w:rPr>
          <w:rFonts w:ascii="黑体" w:hAnsi="Times New Roman" w:eastAsia="黑体" w:cs="Times New Roman"/>
          <w:b w:val="0"/>
        </w:rPr>
      </w:pPr>
      <w:bookmarkStart w:id="146" w:name="_Toc439358339"/>
      <w:r>
        <w:rPr>
          <w:rFonts w:ascii="黑体" w:hAnsi="Times New Roman" w:eastAsia="黑体" w:cs="Times New Roman"/>
          <w:b w:val="0"/>
        </w:rPr>
        <w:t>第一节  深化改革开放</w:t>
      </w:r>
      <w:bookmarkEnd w:id="146"/>
    </w:p>
    <w:p w14:paraId="5A9AF738">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构建对外开放平台。</w:t>
      </w:r>
      <w:r>
        <w:rPr>
          <w:rFonts w:ascii="Times New Roman" w:hAnsi="Times New Roman" w:cs="Times New Roman"/>
          <w:sz w:val="32"/>
          <w:szCs w:val="32"/>
        </w:rPr>
        <w:t>借助河东机场、综合保税区以及滨河新区等良好载体和战略平台，打造银川市跨境电商综合试验区。</w:t>
      </w:r>
      <w:r>
        <w:rPr>
          <w:rFonts w:hint="eastAsia" w:ascii="仿宋_GB2312" w:hAnsi="Times New Roman" w:cs="Times New Roman"/>
          <w:sz w:val="32"/>
          <w:szCs w:val="32"/>
        </w:rPr>
        <w:t>融入“一带一路”、内陆开放试验区等重大战略，深度对接</w:t>
      </w:r>
      <w:r>
        <w:rPr>
          <w:rFonts w:hint="eastAsia" w:ascii="仿宋_GB2312" w:hAnsi="Times New Roman" w:cs="Times New Roman"/>
          <w:sz w:val="32"/>
          <w:szCs w:val="32"/>
          <w:lang w:eastAsia="zh-CN"/>
        </w:rPr>
        <w:t>国际市场</w:t>
      </w:r>
      <w:r>
        <w:rPr>
          <w:rFonts w:ascii="Times New Roman" w:hAnsi="Times New Roman" w:cs="Times New Roman"/>
          <w:sz w:val="32"/>
          <w:szCs w:val="32"/>
        </w:rPr>
        <w:t>，以国际化眼光发展经济、完善制度，以全球视野配置资源，建设重要的出口加工区和国际贸易中转区，为经济发展注入新动力、增添新活力、拓展新空间。</w:t>
      </w:r>
    </w:p>
    <w:p w14:paraId="74DD3BF9">
      <w:pPr>
        <w:spacing w:line="610" w:lineRule="exact"/>
        <w:ind w:firstLine="643"/>
        <w:rPr>
          <w:rFonts w:ascii="Times New Roman" w:hAnsi="Times New Roman" w:cs="Times New Roman"/>
          <w:sz w:val="32"/>
          <w:szCs w:val="32"/>
        </w:rPr>
      </w:pPr>
      <w:r>
        <w:rPr>
          <w:rFonts w:ascii="Times New Roman" w:hAnsi="Times New Roman" w:cs="Times New Roman"/>
          <w:b/>
          <w:sz w:val="32"/>
          <w:szCs w:val="32"/>
        </w:rPr>
        <w:t>深化行政体制改革。</w:t>
      </w:r>
      <w:r>
        <w:rPr>
          <w:rFonts w:ascii="Times New Roman" w:hAnsi="Times New Roman" w:cs="Times New Roman"/>
          <w:sz w:val="32"/>
          <w:szCs w:val="32"/>
        </w:rPr>
        <w:t>深化行政审批制度改革。坚持简政放权、放管结合，形成权力清单、责任清单、负面清单管理模式。进一步减少行政审批事项和程序，规范行政审批行为。建立市场配置资源新机制，完善市场准入和监管方式，健全产权保护、信用体系等方面的制度，建立公平开放、竞争有序的现代市场体系。</w:t>
      </w:r>
    </w:p>
    <w:p w14:paraId="488C09C6">
      <w:pPr>
        <w:spacing w:line="610" w:lineRule="exact"/>
        <w:ind w:firstLine="643"/>
        <w:rPr>
          <w:rFonts w:ascii="Times New Roman" w:hAnsi="Times New Roman" w:cs="Times New Roman"/>
          <w:color w:val="000000"/>
          <w:sz w:val="32"/>
          <w:szCs w:val="32"/>
        </w:rPr>
      </w:pPr>
      <w:r>
        <w:rPr>
          <w:rFonts w:ascii="Times New Roman" w:hAnsi="Times New Roman" w:cs="Times New Roman"/>
          <w:b/>
          <w:sz w:val="32"/>
          <w:szCs w:val="32"/>
        </w:rPr>
        <w:t>深化财税体制改革</w:t>
      </w:r>
      <w:r>
        <w:rPr>
          <w:rFonts w:ascii="Times New Roman" w:hAnsi="Times New Roman" w:cs="Times New Roman"/>
          <w:b/>
          <w:color w:val="000000"/>
          <w:sz w:val="32"/>
          <w:szCs w:val="32"/>
        </w:rPr>
        <w:t>。一是</w:t>
      </w:r>
      <w:r>
        <w:rPr>
          <w:rFonts w:ascii="Times New Roman" w:hAnsi="Times New Roman" w:cs="Times New Roman"/>
          <w:color w:val="000000"/>
          <w:sz w:val="32"/>
          <w:szCs w:val="32"/>
        </w:rPr>
        <w:t>落实国家税制改革和征管体制改革任务。以营造良好税收工作环境为重点，统筹税务部门与社会各方力量，形成全社会协税、护税、综合治税的强大合力，建立税务主责、部门合作，社会协同、公众参与的税收共治格局。</w:t>
      </w:r>
      <w:r>
        <w:rPr>
          <w:rFonts w:ascii="Times New Roman" w:hAnsi="Times New Roman" w:cs="Times New Roman"/>
          <w:b/>
          <w:color w:val="000000"/>
          <w:sz w:val="32"/>
          <w:szCs w:val="32"/>
        </w:rPr>
        <w:t>二是</w:t>
      </w:r>
      <w:r>
        <w:rPr>
          <w:rFonts w:ascii="Times New Roman" w:hAnsi="Times New Roman" w:cs="Times New Roman"/>
          <w:color w:val="000000"/>
          <w:sz w:val="32"/>
          <w:szCs w:val="32"/>
        </w:rPr>
        <w:t>提高办税服务效能。加快合并国税地税服务大厅，实现互设窗口、联合办税。</w:t>
      </w:r>
      <w:r>
        <w:rPr>
          <w:rFonts w:ascii="Times New Roman" w:hAnsi="Times New Roman" w:cs="Times New Roman"/>
          <w:b/>
          <w:color w:val="000000"/>
          <w:sz w:val="32"/>
          <w:szCs w:val="32"/>
        </w:rPr>
        <w:t>三是</w:t>
      </w:r>
      <w:r>
        <w:rPr>
          <w:rFonts w:ascii="Times New Roman" w:hAnsi="Times New Roman" w:cs="Times New Roman"/>
          <w:color w:val="000000"/>
          <w:sz w:val="32"/>
          <w:szCs w:val="32"/>
        </w:rPr>
        <w:t>积极协商区市财税部门优化调整税收分成比例，实现财权和事权相匹配，提高人均地方公共财政预算收入。</w:t>
      </w:r>
      <w:bookmarkStart w:id="147" w:name="_Toc439358340"/>
    </w:p>
    <w:p w14:paraId="01FB721E">
      <w:pPr>
        <w:pStyle w:val="3"/>
        <w:spacing w:before="312" w:beforeLines="100" w:after="156" w:afterLines="50" w:line="520" w:lineRule="exact"/>
        <w:ind w:firstLine="0" w:firstLineChars="0"/>
        <w:jc w:val="center"/>
        <w:rPr>
          <w:rFonts w:ascii="黑体" w:hAnsi="Times New Roman" w:eastAsia="黑体" w:cs="Times New Roman"/>
          <w:b w:val="0"/>
        </w:rPr>
      </w:pPr>
      <w:r>
        <w:rPr>
          <w:rFonts w:ascii="黑体" w:hAnsi="Times New Roman" w:eastAsia="黑体" w:cs="Times New Roman"/>
          <w:b w:val="0"/>
        </w:rPr>
        <w:t>第二节  推进依法治区</w:t>
      </w:r>
      <w:bookmarkEnd w:id="147"/>
    </w:p>
    <w:p w14:paraId="74D3B8D3">
      <w:pPr>
        <w:spacing w:line="610" w:lineRule="exact"/>
        <w:ind w:firstLine="640"/>
        <w:rPr>
          <w:rFonts w:ascii="Times New Roman" w:hAnsi="Times New Roman" w:cs="Times New Roman"/>
          <w:sz w:val="32"/>
          <w:szCs w:val="32"/>
        </w:rPr>
      </w:pPr>
      <w:r>
        <w:rPr>
          <w:rFonts w:ascii="Times New Roman" w:hAnsi="Times New Roman" w:cs="Times New Roman"/>
          <w:sz w:val="32"/>
          <w:szCs w:val="32"/>
        </w:rPr>
        <w:t>各级党委和政府要带头增强法制意识，公务人员要加强作风建设，依法依规履行职责，加快建设职能科学、权责法定、执法严明、公开公正、廉洁高效、守法诚信的法治政府。完善科学民主决策机制，建立健全重大行政决策听取意见、听证、合法性审查、集体决定、实施情况后评价等制度，全面推行政府绩效管理。进一步规范行政执法行为，运用法治方式妥善化解事务矛盾和民生类行政争议，着力保障人民群众的合法权益，使之感受到法律的公平正义。促进社会组织的发育，扩大社会组织参与，形成化解社会矛盾和冲突的社会性机制。推进政务公开，实行信息公开，满足群众的知情权；广泛听取民声民意，提高群众的话语权；畅通反映渠道，保障群众的监督权。深入</w:t>
      </w:r>
      <w:r>
        <w:rPr>
          <w:rFonts w:hint="eastAsia" w:ascii="仿宋_GB2312" w:hAnsi="Times New Roman" w:cs="Times New Roman"/>
          <w:sz w:val="32"/>
          <w:szCs w:val="32"/>
        </w:rPr>
        <w:t>实施“七五”普法，加强普法宣传教育，切实提高普法宣传质量</w:t>
      </w:r>
      <w:r>
        <w:rPr>
          <w:rFonts w:ascii="Times New Roman" w:hAnsi="Times New Roman" w:cs="Times New Roman"/>
          <w:sz w:val="32"/>
          <w:szCs w:val="32"/>
        </w:rPr>
        <w:t>和效果，形成自觉守法用法的社会氛围，努力开创兴庆区普法依法治理工作新局面。</w:t>
      </w:r>
    </w:p>
    <w:p w14:paraId="3F3EC3C5">
      <w:pPr>
        <w:pStyle w:val="3"/>
        <w:spacing w:before="312" w:beforeLines="100" w:after="156" w:afterLines="50" w:line="520" w:lineRule="exact"/>
        <w:ind w:firstLine="0" w:firstLineChars="0"/>
        <w:jc w:val="center"/>
        <w:rPr>
          <w:rFonts w:ascii="黑体" w:hAnsi="Times New Roman" w:eastAsia="黑体" w:cs="Times New Roman"/>
          <w:b w:val="0"/>
        </w:rPr>
      </w:pPr>
      <w:bookmarkStart w:id="148" w:name="_Toc439358341"/>
      <w:r>
        <w:rPr>
          <w:rFonts w:ascii="黑体" w:hAnsi="Times New Roman" w:eastAsia="黑体" w:cs="Times New Roman"/>
          <w:b w:val="0"/>
        </w:rPr>
        <w:t>第三节  完善社会信用体系</w:t>
      </w:r>
      <w:bookmarkEnd w:id="148"/>
    </w:p>
    <w:p w14:paraId="2E86C0C0">
      <w:pPr>
        <w:spacing w:line="610" w:lineRule="exact"/>
        <w:ind w:firstLine="640"/>
        <w:rPr>
          <w:rFonts w:ascii="Times New Roman" w:hAnsi="Times New Roman" w:cs="Times New Roman"/>
          <w:sz w:val="32"/>
          <w:szCs w:val="32"/>
        </w:rPr>
      </w:pPr>
      <w:r>
        <w:rPr>
          <w:rFonts w:ascii="Times New Roman" w:hAnsi="Times New Roman" w:cs="Times New Roman"/>
          <w:sz w:val="32"/>
          <w:szCs w:val="32"/>
        </w:rPr>
        <w:t>推进社会信用体系建设，加强诚信宣传教育，积极培育信用企业，努力提高城乡居民和辖区企业的诚信意识和道德素养。进一步规范信用信息征集，完善企业和个人信用信息采集目录，逐步扩大信用信息征集范围。建设企业信用信息体系，健全统一的企业信用信息公示系统。依托银川市信用信息共享平台，推进政府、企业、社会信用信息全面共享。建立平台运行维护管理制度，确保信用信息的精准、有效和安全。健全守信激励和失信惩戒，构建跨部门执法联动响应及失信约束机制，全面提升兴庆区政务诚信、商务诚信、社会诚信和司法公信水平。</w:t>
      </w:r>
    </w:p>
    <w:p w14:paraId="7667528C">
      <w:pPr>
        <w:pStyle w:val="2"/>
        <w:spacing w:before="0" w:beforeLines="0" w:after="0" w:afterLines="0" w:line="240" w:lineRule="exact"/>
        <w:ind w:firstLine="0" w:firstLineChars="0"/>
        <w:jc w:val="center"/>
        <w:rPr>
          <w:rFonts w:hint="eastAsia" w:ascii="Times New Roman" w:hAnsi="Times New Roman" w:cs="Times New Roman"/>
        </w:rPr>
      </w:pPr>
      <w:r>
        <w:rPr>
          <w:rFonts w:ascii="Times New Roman" w:hAnsi="Times New Roman" w:cs="Times New Roman"/>
        </w:rPr>
        <w:br w:type="page"/>
      </w:r>
      <w:bookmarkStart w:id="149" w:name="_Toc439358342"/>
    </w:p>
    <w:p w14:paraId="22BC57F9">
      <w:pPr>
        <w:pStyle w:val="2"/>
        <w:spacing w:before="156" w:beforeLines="50" w:after="0" w:afterLines="0" w:line="520" w:lineRule="exact"/>
        <w:ind w:firstLine="0" w:firstLineChars="0"/>
        <w:jc w:val="center"/>
        <w:rPr>
          <w:rFonts w:eastAsia="方正小标宋_GBK"/>
          <w:b w:val="0"/>
        </w:rPr>
      </w:pPr>
      <w:r>
        <w:rPr>
          <w:rFonts w:eastAsia="方正小标宋_GBK"/>
          <w:b w:val="0"/>
        </w:rPr>
        <w:t>第九章  凝心聚力，实现发展宏伟蓝图</w:t>
      </w:r>
      <w:bookmarkEnd w:id="149"/>
    </w:p>
    <w:p w14:paraId="5EE46E76">
      <w:pPr>
        <w:pStyle w:val="3"/>
        <w:spacing w:before="312" w:beforeLines="100" w:after="156" w:afterLines="50" w:line="520" w:lineRule="exact"/>
        <w:ind w:firstLine="0" w:firstLineChars="0"/>
        <w:jc w:val="center"/>
        <w:rPr>
          <w:rFonts w:ascii="黑体" w:hAnsi="Times New Roman" w:eastAsia="黑体" w:cs="Times New Roman"/>
          <w:b w:val="0"/>
        </w:rPr>
      </w:pPr>
      <w:bookmarkStart w:id="150" w:name="_Toc439358343"/>
      <w:r>
        <w:rPr>
          <w:rFonts w:ascii="黑体" w:hAnsi="Times New Roman" w:eastAsia="黑体" w:cs="Times New Roman"/>
          <w:b w:val="0"/>
        </w:rPr>
        <w:t>第一节  强化党的领导</w:t>
      </w:r>
      <w:bookmarkEnd w:id="150"/>
    </w:p>
    <w:p w14:paraId="2918362A">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完善工作体制机制</w:t>
      </w:r>
      <w:r>
        <w:rPr>
          <w:rFonts w:ascii="Times New Roman" w:hAnsi="Times New Roman" w:cs="Times New Roman"/>
          <w:b/>
          <w:sz w:val="32"/>
          <w:szCs w:val="32"/>
        </w:rPr>
        <w:t>。</w:t>
      </w:r>
      <w:r>
        <w:rPr>
          <w:rFonts w:ascii="Times New Roman" w:hAnsi="Times New Roman" w:cs="Times New Roman"/>
          <w:sz w:val="32"/>
          <w:szCs w:val="32"/>
        </w:rPr>
        <w:t>坚持党总揽全局、协调各方，发挥各级党委（党组）领导核心作用。完善党委研究经济发展战略和中长期发展规划、制定重大政策、定期分析经济形势、推动任务落实的工作机制。健全决策咨询机制，提高决策科学化水平。</w:t>
      </w:r>
    </w:p>
    <w:p w14:paraId="6FA4197C">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加强改进作风建设</w:t>
      </w:r>
      <w:r>
        <w:rPr>
          <w:rFonts w:ascii="Times New Roman" w:hAnsi="Times New Roman" w:cs="Times New Roman"/>
          <w:b/>
          <w:sz w:val="32"/>
          <w:szCs w:val="32"/>
        </w:rPr>
        <w:t>。</w:t>
      </w:r>
      <w:r>
        <w:rPr>
          <w:rFonts w:ascii="Times New Roman" w:hAnsi="Times New Roman" w:cs="Times New Roman"/>
          <w:sz w:val="32"/>
          <w:szCs w:val="32"/>
        </w:rPr>
        <w:t>巩固拓展党的群众路线教育实践活动</w:t>
      </w:r>
      <w:r>
        <w:rPr>
          <w:rFonts w:hint="eastAsia" w:ascii="仿宋_GB2312" w:hAnsi="Times New Roman" w:cs="Times New Roman"/>
          <w:sz w:val="32"/>
          <w:szCs w:val="32"/>
        </w:rPr>
        <w:t>成果，健全完善“三严三实”作风建设长效机制。坚持全面从严</w:t>
      </w:r>
      <w:r>
        <w:rPr>
          <w:rFonts w:ascii="Times New Roman" w:hAnsi="Times New Roman" w:cs="Times New Roman"/>
          <w:sz w:val="32"/>
          <w:szCs w:val="32"/>
        </w:rPr>
        <w:t>治党，把党的纪律和规矩挺在前面，落实党风廉政建设党委主体责任和纪委监督责任，营造良好的经济社会发展环境。</w:t>
      </w:r>
    </w:p>
    <w:p w14:paraId="45B75333">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团结动员各方面力量</w:t>
      </w:r>
      <w:r>
        <w:rPr>
          <w:rFonts w:ascii="Times New Roman" w:hAnsi="Times New Roman" w:cs="Times New Roman"/>
          <w:b/>
          <w:sz w:val="32"/>
          <w:szCs w:val="32"/>
        </w:rPr>
        <w:t>。</w:t>
      </w:r>
      <w:r>
        <w:rPr>
          <w:rFonts w:ascii="Times New Roman" w:hAnsi="Times New Roman" w:cs="Times New Roman"/>
          <w:sz w:val="32"/>
          <w:szCs w:val="32"/>
        </w:rPr>
        <w:t>贯彻党的群众路线，充分发扬民主，提高宣传和组织群众能力，加强经济社会发展重大问题和涉及群众切身利益问题的协商机制，维护人民群众合法权益，激发兴庆人民推动经济社会发展的主人翁意识。</w:t>
      </w:r>
    </w:p>
    <w:p w14:paraId="29366464">
      <w:pPr>
        <w:pStyle w:val="3"/>
        <w:spacing w:before="312" w:beforeLines="100" w:after="156" w:afterLines="50" w:line="520" w:lineRule="exact"/>
        <w:ind w:firstLine="0" w:firstLineChars="0"/>
        <w:jc w:val="center"/>
        <w:rPr>
          <w:rFonts w:ascii="黑体" w:hAnsi="Times New Roman" w:eastAsia="黑体" w:cs="Times New Roman"/>
          <w:b w:val="0"/>
        </w:rPr>
      </w:pPr>
      <w:bookmarkStart w:id="151" w:name="_Toc439358344"/>
      <w:r>
        <w:rPr>
          <w:rFonts w:ascii="黑体" w:hAnsi="Times New Roman" w:eastAsia="黑体" w:cs="Times New Roman"/>
          <w:b w:val="0"/>
        </w:rPr>
        <w:t>第二节  强化人才保障</w:t>
      </w:r>
      <w:bookmarkEnd w:id="151"/>
    </w:p>
    <w:p w14:paraId="546A9147">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打造人力资源集聚区</w:t>
      </w:r>
      <w:r>
        <w:rPr>
          <w:rFonts w:ascii="Times New Roman" w:hAnsi="Times New Roman" w:cs="Times New Roman"/>
          <w:b/>
          <w:sz w:val="32"/>
          <w:szCs w:val="32"/>
        </w:rPr>
        <w:t>。</w:t>
      </w:r>
      <w:r>
        <w:rPr>
          <w:rFonts w:ascii="Times New Roman" w:hAnsi="Times New Roman" w:cs="Times New Roman"/>
          <w:sz w:val="32"/>
          <w:szCs w:val="32"/>
        </w:rPr>
        <w:t>充分发挥区内外高等院校、科研院所及各类社会机构的作用，有针对性地增设现代服务业相关专业，加快企业与宁夏大学共同培养金融保险、信息技术、现代物流、文化旅游、中介服务等服务业专业人才，加强</w:t>
      </w:r>
      <w:r>
        <w:rPr>
          <w:rFonts w:hint="eastAsia" w:ascii="Times New Roman" w:hAnsi="Times New Roman" w:cs="Times New Roman"/>
          <w:sz w:val="32"/>
          <w:szCs w:val="32"/>
          <w:lang w:eastAsia="zh-CN"/>
        </w:rPr>
        <w:t>对外</w:t>
      </w:r>
      <w:r>
        <w:rPr>
          <w:rFonts w:ascii="Times New Roman" w:hAnsi="Times New Roman" w:cs="Times New Roman"/>
          <w:sz w:val="32"/>
          <w:szCs w:val="32"/>
        </w:rPr>
        <w:t>合作与交流，建立国际化培训基地，努力形成人才辈出的生动局面。针对兴庆区重点服务业、新兴产业的人才需求，制定实施事业扶持、人才创业、人才培养、人才待遇、安家补贴、生活配套、人才服务等八方面的人才配套政策，打造人力资源集聚区。</w:t>
      </w:r>
    </w:p>
    <w:p w14:paraId="58A8D0DD">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统筹推进各类人才队伍建设</w:t>
      </w:r>
      <w:r>
        <w:rPr>
          <w:rFonts w:ascii="Times New Roman" w:hAnsi="Times New Roman" w:cs="Times New Roman"/>
          <w:b/>
          <w:sz w:val="32"/>
          <w:szCs w:val="32"/>
        </w:rPr>
        <w:t>。</w:t>
      </w:r>
      <w:r>
        <w:rPr>
          <w:rFonts w:ascii="Times New Roman" w:hAnsi="Times New Roman" w:cs="Times New Roman"/>
          <w:sz w:val="32"/>
          <w:szCs w:val="32"/>
        </w:rPr>
        <w:t>以增强公务员执政能力为重点，加快培养高素质的党政人才队伍；以企业经营管理人才职业化、市场化、专业化建设为核心，以培养中层以上企业经营管理人才为重点，加大对中小企业、非公有制企业、民营科技企业经营管理人才的开发培养力度，推动企业成为人才队伍建设的主体；以提高专业水平和创新能力为核心，以发挥现有专业技术人才作用和引进急需紧缺人才为重点，打造一支高素质专业技术人才队伍；以提高职业素质和技能为核心，以高级技师为重点，培养一支门类齐全、技艺精湛的高技能人才队伍；依托兴庆区优势特色产业，重点培养覆盖农业和农村经济各个领域的科技推广型、经营管理型、生产开发型、信息传递性的农村实用人才。</w:t>
      </w:r>
    </w:p>
    <w:p w14:paraId="50207CD5">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激励人才创新创业</w:t>
      </w:r>
      <w:r>
        <w:rPr>
          <w:rFonts w:ascii="Times New Roman" w:hAnsi="Times New Roman" w:cs="Times New Roman"/>
          <w:b/>
          <w:sz w:val="32"/>
          <w:szCs w:val="32"/>
        </w:rPr>
        <w:t>。</w:t>
      </w:r>
      <w:r>
        <w:rPr>
          <w:rFonts w:ascii="Times New Roman" w:hAnsi="Times New Roman" w:cs="Times New Roman"/>
          <w:sz w:val="32"/>
          <w:szCs w:val="32"/>
        </w:rPr>
        <w:t>积</w:t>
      </w:r>
      <w:r>
        <w:rPr>
          <w:rFonts w:hint="eastAsia" w:ascii="仿宋_GB2312" w:hAnsi="Times New Roman" w:cs="Times New Roman"/>
          <w:sz w:val="32"/>
          <w:szCs w:val="32"/>
        </w:rPr>
        <w:t>极利用“自治区科技创新团队补助经费”政策，为科技领军人才提</w:t>
      </w:r>
      <w:r>
        <w:rPr>
          <w:rFonts w:ascii="Times New Roman" w:hAnsi="Times New Roman" w:cs="Times New Roman"/>
          <w:sz w:val="32"/>
          <w:szCs w:val="32"/>
        </w:rPr>
        <w:t>供特殊津贴政策、个人所得税减免等优惠政策。财政安排科技创新人才奖励资金，设立科技进步突出贡献奖、技术进步奖、科学发明奖和重大科技成果转化奖等，对在科学研究、技术创新和成果应用方面有突出贡献的企事业单位、团队和个人实行重奖；对获得国家、省级科技奖的企事业单位、团队和个人，给予配套奖励。探索有利于高层次人才、高技能人才创新创业的多种分配方式。</w:t>
      </w:r>
    </w:p>
    <w:p w14:paraId="75434243">
      <w:pPr>
        <w:spacing w:line="610" w:lineRule="exact"/>
        <w:ind w:firstLine="803" w:firstLineChars="250"/>
        <w:rPr>
          <w:rFonts w:ascii="Times New Roman" w:hAnsi="Times New Roman" w:cs="Times New Roman"/>
          <w:sz w:val="32"/>
          <w:szCs w:val="32"/>
        </w:rPr>
      </w:pPr>
      <w:r>
        <w:rPr>
          <w:rFonts w:ascii="Times New Roman" w:hAnsi="Times New Roman" w:cs="Times New Roman"/>
          <w:b/>
          <w:bCs/>
          <w:sz w:val="32"/>
          <w:szCs w:val="32"/>
        </w:rPr>
        <w:t>优化人才服务环境</w:t>
      </w:r>
      <w:r>
        <w:rPr>
          <w:rFonts w:ascii="Times New Roman" w:hAnsi="Times New Roman" w:cs="Times New Roman"/>
          <w:b/>
          <w:sz w:val="32"/>
          <w:szCs w:val="32"/>
        </w:rPr>
        <w:t>。</w:t>
      </w:r>
      <w:r>
        <w:rPr>
          <w:rFonts w:ascii="Times New Roman" w:hAnsi="Times New Roman" w:cs="Times New Roman"/>
          <w:sz w:val="32"/>
          <w:szCs w:val="32"/>
        </w:rPr>
        <w:t>大力实施人才安居工程，积极扩大公共租赁住房、单位租赁住房的建设和供应规模，对亟需人才给予一定的安家补贴。继续优化人才的医疗保障、子女教育、配偶就业、生活配套和文化娱乐环境。</w:t>
      </w:r>
    </w:p>
    <w:p w14:paraId="57ABE775">
      <w:pPr>
        <w:pStyle w:val="3"/>
        <w:spacing w:before="312" w:beforeLines="100" w:after="156" w:afterLines="50" w:line="520" w:lineRule="exact"/>
        <w:ind w:firstLine="0" w:firstLineChars="0"/>
        <w:jc w:val="center"/>
        <w:rPr>
          <w:rFonts w:ascii="黑体" w:hAnsi="Times New Roman" w:eastAsia="黑体" w:cs="Times New Roman"/>
          <w:b w:val="0"/>
        </w:rPr>
      </w:pPr>
      <w:bookmarkStart w:id="152" w:name="_Toc439358345"/>
      <w:r>
        <w:rPr>
          <w:rFonts w:ascii="黑体" w:hAnsi="Times New Roman" w:eastAsia="黑体" w:cs="Times New Roman"/>
          <w:b w:val="0"/>
        </w:rPr>
        <w:t>第三节  强化规划实施管理</w:t>
      </w:r>
      <w:bookmarkEnd w:id="152"/>
    </w:p>
    <w:p w14:paraId="1EB52F7E">
      <w:pPr>
        <w:spacing w:line="610" w:lineRule="exact"/>
        <w:ind w:firstLine="643"/>
        <w:rPr>
          <w:rFonts w:hint="eastAsia" w:ascii="仿宋_GB2312" w:hAnsi="Times New Roman" w:cs="Times New Roman"/>
          <w:sz w:val="32"/>
          <w:szCs w:val="32"/>
        </w:rPr>
      </w:pPr>
      <w:r>
        <w:rPr>
          <w:rFonts w:ascii="Times New Roman" w:hAnsi="Times New Roman" w:cs="Times New Roman"/>
          <w:b/>
          <w:bCs/>
          <w:sz w:val="32"/>
          <w:szCs w:val="32"/>
        </w:rPr>
        <w:t>强化监测评估</w:t>
      </w:r>
      <w:r>
        <w:rPr>
          <w:rFonts w:ascii="Times New Roman" w:hAnsi="Times New Roman" w:cs="Times New Roman"/>
          <w:b/>
          <w:sz w:val="32"/>
          <w:szCs w:val="32"/>
        </w:rPr>
        <w:t>。</w:t>
      </w:r>
      <w:r>
        <w:rPr>
          <w:rFonts w:ascii="Times New Roman" w:hAnsi="Times New Roman" w:cs="Times New Roman"/>
          <w:sz w:val="32"/>
          <w:szCs w:val="32"/>
        </w:rPr>
        <w:t>兴庆区有关部门要处</w:t>
      </w:r>
      <w:r>
        <w:rPr>
          <w:rFonts w:hint="eastAsia" w:ascii="仿宋_GB2312" w:hAnsi="Times New Roman" w:cs="Times New Roman"/>
          <w:sz w:val="32"/>
          <w:szCs w:val="32"/>
        </w:rPr>
        <w:t>理好“十三五”规划与部门专项规划的关系，加强规划的协调管理，做好“十三五”规划与城市总体规划、土地利用规划之间的衔接，使各类规划在发展目标、空间布局、政策取向、重大项目等方面保持协调</w:t>
      </w:r>
    </w:p>
    <w:p w14:paraId="077FDC2E">
      <w:pPr>
        <w:spacing w:line="610" w:lineRule="exact"/>
        <w:ind w:firstLine="0" w:firstLineChars="0"/>
        <w:rPr>
          <w:rFonts w:hint="eastAsia" w:ascii="仿宋_GB2312" w:hAnsi="Times New Roman" w:cs="Times New Roman"/>
          <w:sz w:val="32"/>
          <w:szCs w:val="32"/>
        </w:rPr>
      </w:pPr>
      <w:r>
        <w:rPr>
          <w:rFonts w:hint="eastAsia" w:ascii="仿宋_GB2312" w:hAnsi="Times New Roman" w:cs="Times New Roman"/>
          <w:sz w:val="32"/>
          <w:szCs w:val="32"/>
        </w:rPr>
        <w:t>一致。健全规划监督机制，对“十三五”规划实施情况进行中期评估，检查规划落实情况，评价规划实施效果，及时公布规划实施进展情况，提出相应对策建议。</w:t>
      </w:r>
    </w:p>
    <w:p w14:paraId="746883CF">
      <w:pPr>
        <w:spacing w:line="610" w:lineRule="exact"/>
        <w:ind w:firstLine="643"/>
        <w:rPr>
          <w:rFonts w:ascii="Times New Roman" w:hAnsi="Times New Roman" w:cs="Times New Roman"/>
          <w:sz w:val="32"/>
          <w:szCs w:val="32"/>
        </w:rPr>
      </w:pPr>
      <w:r>
        <w:rPr>
          <w:rFonts w:ascii="Times New Roman" w:hAnsi="Times New Roman" w:cs="Times New Roman"/>
          <w:b/>
          <w:bCs/>
          <w:sz w:val="32"/>
          <w:szCs w:val="32"/>
        </w:rPr>
        <w:t>强化实施责任</w:t>
      </w:r>
      <w:r>
        <w:rPr>
          <w:rFonts w:ascii="Times New Roman" w:hAnsi="Times New Roman" w:cs="Times New Roman"/>
          <w:b/>
          <w:sz w:val="32"/>
          <w:szCs w:val="32"/>
        </w:rPr>
        <w:t>。</w:t>
      </w:r>
      <w:r>
        <w:rPr>
          <w:rFonts w:ascii="Times New Roman" w:hAnsi="Times New Roman" w:cs="Times New Roman"/>
          <w:sz w:val="32"/>
          <w:szCs w:val="32"/>
        </w:rPr>
        <w:t>兴庆区各部门要根据各自的管理职能和规划要求，明确各自责任和工作进度，研究制定推进规划实施的政策措施，创造良好的政策环境、体制环境和法治环境，激发市场主体的积极性和创造性，引导市场主体行为与政府规划目标相一致，合理配置公共资源，保障规划目标和任务的完成。</w:t>
      </w:r>
    </w:p>
    <w:p w14:paraId="6A143C80">
      <w:pPr>
        <w:spacing w:line="610" w:lineRule="exact"/>
        <w:ind w:firstLine="640"/>
        <w:rPr>
          <w:rFonts w:hint="eastAsia" w:ascii="Times New Roman" w:hAnsi="Times New Roman" w:eastAsia="仿宋_GB2312" w:cs="Times New Roman"/>
          <w:sz w:val="32"/>
          <w:szCs w:val="32"/>
          <w:lang w:eastAsia="zh-CN"/>
        </w:rPr>
      </w:pPr>
      <w:r>
        <w:rPr>
          <w:rFonts w:hint="eastAsia" w:ascii="仿宋_GB2312" w:hAnsi="Times New Roman" w:cs="Times New Roman"/>
          <w:sz w:val="32"/>
          <w:szCs w:val="32"/>
        </w:rPr>
        <w:t>实现“十三五”时期发展目标，任务艰巨，责任重大，使命</w:t>
      </w:r>
      <w:r>
        <w:rPr>
          <w:rFonts w:ascii="Times New Roman" w:hAnsi="Times New Roman" w:cs="Times New Roman"/>
          <w:sz w:val="32"/>
          <w:szCs w:val="32"/>
        </w:rPr>
        <w:t>光荣。广大干部群众要更加紧密地团结在以习近平同志为</w:t>
      </w:r>
      <w:r>
        <w:rPr>
          <w:rFonts w:hint="eastAsia" w:ascii="Times New Roman" w:hAnsi="Times New Roman" w:cs="Times New Roman"/>
          <w:sz w:val="32"/>
          <w:szCs w:val="32"/>
          <w:lang w:eastAsia="zh-CN"/>
        </w:rPr>
        <w:t>核心</w:t>
      </w:r>
      <w:r>
        <w:rPr>
          <w:rFonts w:ascii="Times New Roman" w:hAnsi="Times New Roman" w:cs="Times New Roman"/>
          <w:sz w:val="32"/>
          <w:szCs w:val="32"/>
        </w:rPr>
        <w:t>的党中央周围，高举中国特色社会主义伟大旗帜，改革创新、锐意进取、团结一致、砥砺前行，</w:t>
      </w:r>
      <w:bookmarkEnd w:id="144"/>
      <w:bookmarkEnd w:id="145"/>
      <w:r>
        <w:rPr>
          <w:rFonts w:hint="eastAsia" w:ascii="Times New Roman" w:hAnsi="Times New Roman" w:cs="Times New Roman"/>
          <w:sz w:val="32"/>
          <w:szCs w:val="32"/>
        </w:rPr>
        <w:t>为实现经济繁荣、民族团结、环境优美、人民富裕，确保与全国同步建成全面小康社会而努力奋斗</w:t>
      </w:r>
      <w:r>
        <w:rPr>
          <w:rFonts w:hint="eastAsia" w:ascii="Times New Roman" w:hAnsi="Times New Roman" w:cs="Times New Roman"/>
          <w:sz w:val="32"/>
          <w:szCs w:val="32"/>
          <w:lang w:eastAsia="zh-CN"/>
        </w:rPr>
        <w:t>！</w:t>
      </w:r>
    </w:p>
    <w:p w14:paraId="7994666D">
      <w:pPr>
        <w:spacing w:line="610" w:lineRule="exact"/>
        <w:ind w:firstLine="0" w:firstLineChars="0"/>
        <w:rPr>
          <w:rFonts w:hint="eastAsia" w:eastAsia="方正小标宋_GBK"/>
          <w:bCs/>
          <w:kern w:val="44"/>
          <w:sz w:val="44"/>
          <w:szCs w:val="44"/>
        </w:rPr>
      </w:pPr>
      <w:r>
        <w:rPr>
          <w:rFonts w:ascii="Times New Roman" w:hAnsi="Times New Roman" w:cs="Times New Roman"/>
          <w:sz w:val="32"/>
          <w:szCs w:val="32"/>
        </w:rPr>
        <w:br w:type="page"/>
      </w:r>
      <w:bookmarkStart w:id="153" w:name="_Toc439358346"/>
      <w:r>
        <w:rPr>
          <w:rFonts w:hint="eastAsia" w:eastAsia="方正小标宋_GBK"/>
          <w:bCs/>
          <w:kern w:val="44"/>
          <w:sz w:val="44"/>
          <w:szCs w:val="44"/>
        </w:rPr>
        <w:t>附录：图与专栏目录</w:t>
      </w:r>
      <w:bookmarkEnd w:id="153"/>
    </w:p>
    <w:p w14:paraId="72451993">
      <w:pPr>
        <w:spacing w:line="520" w:lineRule="exact"/>
        <w:ind w:firstLine="880"/>
        <w:jc w:val="left"/>
        <w:rPr>
          <w:rFonts w:hint="eastAsia" w:eastAsia="方正小标宋_GBK"/>
          <w:sz w:val="44"/>
          <w:szCs w:val="44"/>
        </w:rPr>
      </w:pPr>
    </w:p>
    <w:p w14:paraId="1F64B697">
      <w:pPr>
        <w:spacing w:before="156" w:beforeLines="50" w:after="156" w:afterLines="50" w:line="520" w:lineRule="exact"/>
        <w:ind w:firstLine="0" w:firstLineChars="0"/>
        <w:jc w:val="center"/>
        <w:rPr>
          <w:rFonts w:eastAsia="黑体"/>
          <w:sz w:val="32"/>
          <w:szCs w:val="32"/>
        </w:rPr>
      </w:pPr>
      <w:r>
        <w:rPr>
          <w:rFonts w:hint="eastAsia" w:eastAsia="黑体"/>
          <w:sz w:val="32"/>
          <w:szCs w:val="32"/>
        </w:rPr>
        <w:t>图目录</w:t>
      </w:r>
    </w:p>
    <w:p w14:paraId="145AD3CB">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\h \z \c "图"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"_Toc441134455"</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图1 兴庆区现代产业体系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_Toc441134455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7F8E3B5">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"_Toc441134456"</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图2 兴庆区现代产业布局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_Toc441134456 \h </w:instrText>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8ACDE97">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"_Toc441134457"</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图3 新华商圈改造布局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_Toc441134457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5CE2CEA">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"_Toc441134458"</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图4 兴庆区通航产业体系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_Toc441134458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59D4E49">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"_Toc441134459"</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图5</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“十三五”</w:t>
      </w:r>
      <w:r>
        <w:rPr>
          <w:rStyle w:val="14"/>
          <w:rFonts w:ascii="Times New Roman" w:hAnsi="Times New Roman" w:cs="Times New Roman"/>
          <w:sz w:val="28"/>
          <w:szCs w:val="28"/>
        </w:rPr>
        <w:t>城乡空间发展战略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_Toc441134459 \h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742C21AD">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"_Toc441134460"</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图6</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“十三五”</w:t>
      </w:r>
      <w:r>
        <w:rPr>
          <w:rStyle w:val="14"/>
          <w:rFonts w:ascii="Times New Roman" w:hAnsi="Times New Roman" w:cs="Times New Roman"/>
          <w:sz w:val="28"/>
          <w:szCs w:val="28"/>
        </w:rPr>
        <w:t>城乡空间布局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_Toc441134460 \h </w:instrText>
      </w:r>
      <w:r>
        <w:rPr>
          <w:rFonts w:ascii="Times New Roman" w:hAnsi="Times New Roman" w:cs="Times New Roman"/>
          <w:sz w:val="28"/>
          <w:szCs w:val="28"/>
        </w:rPr>
        <w:fldChar w:fldCharType="separate"/>
      </w:r>
      <w:r>
        <w:rPr>
          <w:rFonts w:ascii="Times New Roman" w:hAnsi="Times New Roman" w:cs="Times New Roman"/>
          <w:sz w:val="28"/>
          <w:szCs w:val="28"/>
        </w:rPr>
        <w:t>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2083B525">
      <w:pPr>
        <w:tabs>
          <w:tab w:val="right" w:leader="dot" w:pos="8700"/>
        </w:tabs>
        <w:spacing w:before="156" w:beforeLines="50" w:after="156" w:afterLines="50" w:line="550" w:lineRule="exact"/>
        <w:ind w:firstLine="0" w:firstLineChars="0"/>
        <w:jc w:val="center"/>
        <w:rPr>
          <w:rFonts w:eastAsia="黑体"/>
          <w:sz w:val="32"/>
          <w:szCs w:val="32"/>
        </w:rPr>
      </w:pPr>
      <w:r>
        <w:rPr>
          <w:rFonts w:ascii="Times New Roman" w:hAnsi="Times New Roman" w:cs="Times New Roman"/>
          <w:sz w:val="28"/>
          <w:szCs w:val="28"/>
        </w:rPr>
        <w:fldChar w:fldCharType="end"/>
      </w:r>
      <w:r>
        <w:rPr>
          <w:rFonts w:hint="eastAsia" w:eastAsia="黑体"/>
          <w:sz w:val="32"/>
          <w:szCs w:val="32"/>
        </w:rPr>
        <w:t>专栏目录</w:t>
      </w:r>
    </w:p>
    <w:p w14:paraId="6180B86E">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\h \z \c "专栏"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"_Toc441134502"</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“十二五”</w:t>
      </w:r>
      <w:r>
        <w:rPr>
          <w:rStyle w:val="14"/>
          <w:rFonts w:ascii="Times New Roman" w:hAnsi="Times New Roman" w:cs="Times New Roman"/>
          <w:sz w:val="28"/>
          <w:szCs w:val="28"/>
        </w:rPr>
        <w:t>时期经济社会发展状况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_Toc441134502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4394E70">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"_Toc441134503"</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专栏2</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“十二五”</w:t>
      </w:r>
      <w:r>
        <w:rPr>
          <w:rStyle w:val="14"/>
          <w:rFonts w:ascii="Times New Roman" w:hAnsi="Times New Roman" w:cs="Times New Roman"/>
          <w:sz w:val="28"/>
          <w:szCs w:val="28"/>
        </w:rPr>
        <w:t>时期小康社会指标完成情况</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_Toc441134503 \h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CF7F04B">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"_Toc441134504"</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专栏3</w:t>
      </w:r>
      <w:r>
        <w:rPr>
          <w:rStyle w:val="14"/>
          <w:rFonts w:hint="eastAsia" w:ascii="Times New Roman" w:hAnsi="Times New Roman" w:cs="Times New Roman"/>
          <w:sz w:val="28"/>
          <w:szCs w:val="28"/>
        </w:rPr>
        <w:t xml:space="preserve"> </w:t>
      </w:r>
      <w:r>
        <w:rPr>
          <w:rStyle w:val="14"/>
          <w:rFonts w:hint="eastAsia" w:ascii="仿宋_GB2312" w:hAnsi="Times New Roman" w:cs="Times New Roman"/>
          <w:sz w:val="28"/>
          <w:szCs w:val="28"/>
        </w:rPr>
        <w:t>“十三五”</w:t>
      </w:r>
      <w:r>
        <w:rPr>
          <w:rStyle w:val="14"/>
          <w:rFonts w:ascii="Times New Roman" w:hAnsi="Times New Roman" w:cs="Times New Roman"/>
          <w:sz w:val="28"/>
          <w:szCs w:val="28"/>
        </w:rPr>
        <w:t>时期经济社会发展目标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_Toc441134504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CA284BC">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"_Toc441134505"</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专栏4 商贸物流带主要问题</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_Toc441134505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41E8B6FB">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"_Toc441134506"</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专栏5 商贸物流带发展重点及重大项目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_Toc441134506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06B7782F">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"_Toc441134507"</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专栏6 兴庆区物流发展重大项目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_Toc441134507 \h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3801D3E">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"_Toc441134508"</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专栏7 新华商圈发展方向及重大项目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_Toc441134508 \h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07A965F">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"_Toc441134509"</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专栏8 通航产业发展重点</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_Toc441134509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70C85FC">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"_Toc441134510"</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专栏9 旅游产业发展重点及重大项目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_Toc441134510 \h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3ABD87D9">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"_Toc441134511"</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专栏10 文化创意产业发展重点及重大项目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_Toc441134511 \h </w:instrText>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60A297EE">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"_Toc441134512"</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专栏11 农业发展重点及重大项目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_Toc441134512 \h </w:instrText>
      </w:r>
      <w:r>
        <w:rPr>
          <w:rFonts w:ascii="Times New Roman" w:hAnsi="Times New Roman" w:cs="Times New Roman"/>
          <w:sz w:val="28"/>
          <w:szCs w:val="28"/>
        </w:rPr>
        <w:fldChar w:fldCharType="separate"/>
      </w:r>
      <w:r>
        <w:rPr>
          <w:rFonts w:ascii="Times New Roman" w:hAnsi="Times New Roman" w:cs="Times New Roman"/>
          <w:sz w:val="28"/>
          <w:szCs w:val="28"/>
        </w:rPr>
        <w:t>29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5DBC7769">
      <w:pPr>
        <w:pStyle w:val="8"/>
        <w:tabs>
          <w:tab w:val="right" w:leader="dot" w:pos="8700"/>
        </w:tabs>
        <w:spacing w:line="550" w:lineRule="exact"/>
        <w:ind w:leftChars="0" w:firstLine="0" w:firstLineChars="0"/>
        <w:rPr>
          <w:rFonts w:ascii="Times New Roman" w:hAnsi="Times New Roman" w:cs="Times New Roman"/>
          <w:sz w:val="28"/>
          <w:szCs w:val="28"/>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"_Toc441134513"</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专栏12 兴庆区城乡统筹重大项目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_Toc441134513 \h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14:paraId="10D28C9C">
      <w:pPr>
        <w:pStyle w:val="8"/>
        <w:tabs>
          <w:tab w:val="right" w:leader="dot" w:pos="8700"/>
        </w:tabs>
        <w:spacing w:line="550" w:lineRule="exact"/>
        <w:ind w:leftChars="0" w:firstLine="0" w:firstLineChars="0"/>
        <w:rPr>
          <w:rFonts w:ascii="Arial" w:eastAsia="黑体"/>
          <w:b/>
          <w:sz w:val="32"/>
          <w:szCs w:val="32"/>
        </w:rPr>
      </w:pPr>
      <w:r>
        <w:rPr>
          <w:rFonts w:ascii="Times New Roman" w:hAnsi="Times New Roman" w:cs="Times New Roman"/>
          <w:sz w:val="28"/>
          <w:szCs w:val="28"/>
        </w:rPr>
        <w:fldChar w:fldCharType="begin"/>
      </w:r>
      <w:r>
        <w:rPr>
          <w:rStyle w:val="14"/>
          <w:rFonts w:ascii="Times New Roman" w:hAnsi="Times New Roman" w:cs="Times New Roman"/>
          <w:sz w:val="28"/>
          <w:szCs w:val="28"/>
        </w:rPr>
        <w:instrText xml:space="preserve"> </w:instrText>
      </w:r>
      <w:r>
        <w:rPr>
          <w:rFonts w:ascii="Times New Roman" w:hAnsi="Times New Roman" w:cs="Times New Roman"/>
          <w:sz w:val="28"/>
          <w:szCs w:val="28"/>
        </w:rPr>
        <w:instrText xml:space="preserve">HYPERLINK \l "_Toc441134514"</w:instrText>
      </w:r>
      <w:r>
        <w:rPr>
          <w:rStyle w:val="14"/>
          <w:rFonts w:ascii="Times New Roman" w:hAnsi="Times New Roman" w:cs="Times New Roman"/>
          <w:sz w:val="28"/>
          <w:szCs w:val="28"/>
        </w:rPr>
        <w:instrText xml:space="preserve"> </w:instrText>
      </w:r>
      <w:r>
        <w:rPr>
          <w:rFonts w:ascii="Times New Roman" w:hAnsi="Times New Roman" w:cs="Times New Roman"/>
          <w:sz w:val="28"/>
          <w:szCs w:val="28"/>
        </w:rPr>
        <w:fldChar w:fldCharType="separate"/>
      </w:r>
      <w:r>
        <w:rPr>
          <w:rStyle w:val="14"/>
          <w:rFonts w:ascii="Times New Roman" w:hAnsi="Times New Roman" w:cs="Times New Roman"/>
          <w:sz w:val="28"/>
          <w:szCs w:val="28"/>
        </w:rPr>
        <w:t>专栏13 兴庆区社会事业</w:t>
      </w:r>
      <w:r>
        <w:rPr>
          <w:rStyle w:val="14"/>
          <w:rFonts w:hint="eastAsia" w:ascii="仿宋_GB2312" w:hAnsi="Times New Roman" w:cs="Times New Roman"/>
          <w:sz w:val="28"/>
          <w:szCs w:val="28"/>
        </w:rPr>
        <w:t>“十三五”重</w:t>
      </w:r>
      <w:r>
        <w:rPr>
          <w:rStyle w:val="14"/>
          <w:rFonts w:ascii="Times New Roman" w:hAnsi="Times New Roman" w:cs="Times New Roman"/>
          <w:sz w:val="28"/>
          <w:szCs w:val="28"/>
        </w:rPr>
        <w:t>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_Toc441134514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eastAsia="仿宋_GB2312" w:cs="Times New Roman"/>
          <w:sz w:val="28"/>
          <w:szCs w:val="28"/>
        </w:rPr>
        <w:fldChar w:fldCharType="end"/>
      </w:r>
    </w:p>
    <w:p w14:paraId="3B25EBFB"/>
    <w:sectPr>
      <w:headerReference r:id="rId20" w:type="first"/>
      <w:headerReference r:id="rId18" w:type="default"/>
      <w:footerReference r:id="rId21" w:type="default"/>
      <w:headerReference r:id="rId19" w:type="even"/>
      <w:pgSz w:w="11906" w:h="16838"/>
      <w:pgMar w:top="1588" w:right="1588" w:bottom="1440" w:left="1588" w:header="1021" w:footer="1077" w:gutter="0"/>
      <w:pgNumType w:start="1"/>
      <w:cols w:space="720" w:num="1"/>
      <w:docGrid w:type="lines" w:linePitch="4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宋体"/>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61615">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344A5">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74410">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758F">
    <w:pPr>
      <w:pStyle w:val="5"/>
      <w:framePr w:wrap="around" w:vAnchor="text" w:hAnchor="margin" w:xAlign="inside" w:y="1"/>
      <w:ind w:firstLine="0" w:firstLineChars="0"/>
      <w:rPr>
        <w:rStyle w:val="13"/>
        <w:rFonts w:ascii="宋体" w:hAnsi="宋体" w:eastAsia="宋体"/>
        <w:sz w:val="28"/>
        <w:szCs w:val="28"/>
      </w:rPr>
    </w:pPr>
    <w:r>
      <w:rPr>
        <w:rFonts w:ascii="宋体" w:hAnsi="宋体" w:eastAsia="宋体"/>
        <w:sz w:val="28"/>
        <w:szCs w:val="28"/>
      </w:rPr>
      <w:fldChar w:fldCharType="begin"/>
    </w:r>
    <w:r>
      <w:rPr>
        <w:rStyle w:val="13"/>
        <w:rFonts w:ascii="宋体" w:hAnsi="宋体" w:eastAsia="宋体"/>
        <w:sz w:val="28"/>
        <w:szCs w:val="28"/>
      </w:rPr>
      <w:instrText xml:space="preserve">PAGE  </w:instrText>
    </w:r>
    <w:r>
      <w:rPr>
        <w:rFonts w:ascii="宋体" w:hAnsi="宋体" w:eastAsia="宋体"/>
        <w:sz w:val="28"/>
        <w:szCs w:val="28"/>
      </w:rPr>
      <w:fldChar w:fldCharType="separate"/>
    </w:r>
    <w:r>
      <w:rPr>
        <w:rStyle w:val="13"/>
        <w:rFonts w:ascii="宋体" w:hAnsi="宋体" w:eastAsia="宋体"/>
        <w:sz w:val="28"/>
        <w:szCs w:val="28"/>
      </w:rPr>
      <w:t>II</w:t>
    </w:r>
    <w:r>
      <w:rPr>
        <w:rFonts w:ascii="宋体" w:hAnsi="宋体" w:eastAsia="宋体"/>
        <w:sz w:val="28"/>
        <w:szCs w:val="28"/>
      </w:rPr>
      <w:fldChar w:fldCharType="end"/>
    </w:r>
  </w:p>
  <w:p w14:paraId="2A795DDA">
    <w:pPr>
      <w:pStyle w:val="5"/>
      <w:ind w:right="360" w:firstLine="560"/>
      <w:jc w:val="center"/>
      <w:rPr>
        <w:rFonts w:ascii="宋体" w:hAnsi="宋体" w:eastAsia="宋体"/>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BA8E6">
    <w:pPr>
      <w:pStyle w:val="5"/>
      <w:framePr w:wrap="around" w:vAnchor="text" w:hAnchor="margin" w:xAlign="outside" w:y="1"/>
      <w:ind w:firstLine="360"/>
      <w:rPr>
        <w:rStyle w:val="13"/>
      </w:rPr>
    </w:pPr>
    <w:r>
      <w:fldChar w:fldCharType="begin"/>
    </w:r>
    <w:r>
      <w:rPr>
        <w:rStyle w:val="13"/>
      </w:rPr>
      <w:instrText xml:space="preserve">PAGE  </w:instrText>
    </w:r>
    <w:r>
      <w:fldChar w:fldCharType="separate"/>
    </w:r>
    <w:r>
      <w:fldChar w:fldCharType="end"/>
    </w:r>
  </w:p>
  <w:p w14:paraId="1B14EE7F">
    <w:pPr>
      <w:pStyle w:val="5"/>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FA752">
    <w:pPr>
      <w:pStyle w:val="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CA751">
    <w:pPr>
      <w:pStyle w:val="5"/>
      <w:framePr w:wrap="around" w:vAnchor="text" w:hAnchor="margin" w:xAlign="inside" w:y="1"/>
      <w:ind w:firstLine="0" w:firstLineChars="0"/>
      <w:rPr>
        <w:rStyle w:val="13"/>
        <w:rFonts w:hint="eastAsia" w:ascii="宋体" w:hAnsi="宋体" w:eastAsia="宋体"/>
        <w:sz w:val="28"/>
        <w:szCs w:val="28"/>
      </w:rPr>
    </w:pPr>
    <w:r>
      <w:rPr>
        <w:rStyle w:val="13"/>
        <w:rFonts w:hint="eastAsia" w:ascii="宋体" w:hAnsi="宋体" w:eastAsia="宋体"/>
        <w:sz w:val="28"/>
        <w:szCs w:val="28"/>
      </w:rPr>
      <w:t xml:space="preserve">- </w:t>
    </w:r>
    <w:r>
      <w:rPr>
        <w:rFonts w:ascii="宋体" w:hAnsi="宋体" w:eastAsia="宋体"/>
        <w:sz w:val="28"/>
        <w:szCs w:val="28"/>
      </w:rPr>
      <w:fldChar w:fldCharType="begin"/>
    </w:r>
    <w:r>
      <w:rPr>
        <w:rStyle w:val="13"/>
        <w:rFonts w:ascii="宋体" w:hAnsi="宋体" w:eastAsia="宋体"/>
        <w:sz w:val="28"/>
        <w:szCs w:val="28"/>
      </w:rPr>
      <w:instrText xml:space="preserve">PAGE  </w:instrText>
    </w:r>
    <w:r>
      <w:rPr>
        <w:rFonts w:ascii="宋体" w:hAnsi="宋体" w:eastAsia="宋体"/>
        <w:sz w:val="28"/>
        <w:szCs w:val="28"/>
      </w:rPr>
      <w:fldChar w:fldCharType="separate"/>
    </w:r>
    <w:r>
      <w:rPr>
        <w:rStyle w:val="13"/>
        <w:rFonts w:ascii="宋体" w:hAnsi="宋体" w:eastAsia="宋体"/>
        <w:sz w:val="28"/>
        <w:szCs w:val="28"/>
      </w:rPr>
      <w:t>1</w:t>
    </w:r>
    <w:r>
      <w:rPr>
        <w:rFonts w:ascii="宋体" w:hAnsi="宋体" w:eastAsia="宋体"/>
        <w:sz w:val="28"/>
        <w:szCs w:val="28"/>
      </w:rPr>
      <w:fldChar w:fldCharType="end"/>
    </w:r>
    <w:r>
      <w:rPr>
        <w:rStyle w:val="13"/>
        <w:rFonts w:hint="eastAsia" w:ascii="宋体" w:hAnsi="宋体" w:eastAsia="宋体"/>
        <w:sz w:val="28"/>
        <w:szCs w:val="28"/>
      </w:rPr>
      <w:t xml:space="preserve"> -</w:t>
    </w:r>
  </w:p>
  <w:p w14:paraId="5D275C96">
    <w:pPr>
      <w:pStyle w:val="5"/>
      <w:ind w:right="360" w:firstLine="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14F2F">
    <w:pPr>
      <w:pStyle w:val="5"/>
      <w:framePr w:wrap="around" w:vAnchor="text" w:hAnchor="margin" w:xAlign="outside" w:y="1"/>
      <w:spacing w:line="240" w:lineRule="auto"/>
      <w:ind w:firstLine="0" w:firstLineChars="0"/>
      <w:rPr>
        <w:rStyle w:val="13"/>
        <w:rFonts w:hint="eastAsia" w:ascii="宋体" w:hAnsi="宋体" w:eastAsia="宋体"/>
        <w:sz w:val="28"/>
        <w:szCs w:val="28"/>
      </w:rPr>
    </w:pPr>
    <w:r>
      <w:rPr>
        <w:rStyle w:val="13"/>
        <w:rFonts w:hint="eastAsia" w:ascii="宋体" w:hAnsi="宋体" w:eastAsia="宋体"/>
        <w:sz w:val="28"/>
        <w:szCs w:val="28"/>
      </w:rPr>
      <w:t xml:space="preserve">- </w:t>
    </w:r>
    <w:r>
      <w:rPr>
        <w:rFonts w:ascii="宋体" w:hAnsi="宋体" w:eastAsia="宋体"/>
        <w:sz w:val="28"/>
        <w:szCs w:val="28"/>
      </w:rPr>
      <w:fldChar w:fldCharType="begin"/>
    </w:r>
    <w:r>
      <w:rPr>
        <w:rStyle w:val="13"/>
        <w:rFonts w:ascii="宋体" w:hAnsi="宋体" w:eastAsia="宋体"/>
        <w:sz w:val="28"/>
        <w:szCs w:val="28"/>
      </w:rPr>
      <w:instrText xml:space="preserve">PAGE  </w:instrText>
    </w:r>
    <w:r>
      <w:rPr>
        <w:rFonts w:ascii="宋体" w:hAnsi="宋体" w:eastAsia="宋体"/>
        <w:sz w:val="28"/>
        <w:szCs w:val="28"/>
      </w:rPr>
      <w:fldChar w:fldCharType="separate"/>
    </w:r>
    <w:r>
      <w:rPr>
        <w:rStyle w:val="13"/>
        <w:rFonts w:ascii="宋体" w:hAnsi="宋体" w:eastAsia="宋体"/>
        <w:sz w:val="28"/>
        <w:szCs w:val="28"/>
      </w:rPr>
      <w:t>14</w:t>
    </w:r>
    <w:r>
      <w:rPr>
        <w:rFonts w:ascii="宋体" w:hAnsi="宋体" w:eastAsia="宋体"/>
        <w:sz w:val="28"/>
        <w:szCs w:val="28"/>
      </w:rPr>
      <w:fldChar w:fldCharType="end"/>
    </w:r>
    <w:r>
      <w:rPr>
        <w:rStyle w:val="13"/>
        <w:rFonts w:hint="eastAsia" w:ascii="宋体" w:hAnsi="宋体" w:eastAsia="宋体"/>
        <w:sz w:val="28"/>
        <w:szCs w:val="28"/>
      </w:rPr>
      <w:t xml:space="preserve"> -</w:t>
    </w:r>
  </w:p>
  <w:p w14:paraId="7F3B4025">
    <w:pPr>
      <w:pStyle w:val="5"/>
      <w:ind w:right="360" w:firstLine="360" w:firstLineChars="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6CE8D">
    <w:pPr>
      <w:pStyle w:val="6"/>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DE300">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15965">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6A943">
    <w:pPr>
      <w:pStyle w:val="6"/>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13818">
    <w:pPr>
      <w:pStyle w:val="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5FEAD">
    <w:pPr>
      <w:pStyle w:val="6"/>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96F37">
    <w:pPr>
      <w:pStyle w:val="6"/>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97D6A">
    <w:pPr>
      <w:pStyle w:val="6"/>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9B5DC">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27429D"/>
    <w:rsid w:val="07CA759F"/>
    <w:rsid w:val="4327429D"/>
    <w:rsid w:val="5B784D49"/>
    <w:rsid w:val="5F0F7977"/>
    <w:rsid w:val="792F71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Arial" w:hAnsi="Arial" w:eastAsia="仿宋_GB2312" w:cs="黑体"/>
      <w:kern w:val="2"/>
      <w:sz w:val="30"/>
      <w:szCs w:val="22"/>
      <w:lang w:val="en-US" w:eastAsia="zh-CN" w:bidi="ar-SA"/>
    </w:rPr>
  </w:style>
  <w:style w:type="paragraph" w:styleId="2">
    <w:name w:val="heading 1"/>
    <w:basedOn w:val="1"/>
    <w:next w:val="1"/>
    <w:qFormat/>
    <w:uiPriority w:val="0"/>
    <w:pPr>
      <w:keepNext/>
      <w:keepLines/>
      <w:spacing w:before="340" w:beforeLines="0" w:after="330" w:afterLines="0" w:line="720" w:lineRule="auto"/>
      <w:outlineLvl w:val="0"/>
    </w:pPr>
    <w:rPr>
      <w:rFonts w:ascii="Arial" w:hAnsi="Arial" w:eastAsia="仿宋_GB2312"/>
      <w:b/>
      <w:bCs/>
      <w:kern w:val="44"/>
      <w:sz w:val="44"/>
      <w:szCs w:val="44"/>
    </w:rPr>
  </w:style>
  <w:style w:type="paragraph" w:styleId="3">
    <w:name w:val="heading 2"/>
    <w:basedOn w:val="1"/>
    <w:next w:val="1"/>
    <w:qFormat/>
    <w:uiPriority w:val="0"/>
    <w:pPr>
      <w:keepNext/>
      <w:keepLines/>
      <w:adjustRightInd w:val="0"/>
      <w:snapToGrid w:val="0"/>
      <w:spacing w:before="120" w:beforeLines="0" w:after="120" w:afterLines="0"/>
      <w:outlineLvl w:val="1"/>
    </w:pPr>
    <w:rPr>
      <w:rFonts w:ascii="等线 Light" w:hAnsi="等线 Light" w:eastAsia="仿宋_GB2312" w:cs="黑体"/>
      <w:b/>
      <w:bCs/>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caption"/>
    <w:basedOn w:val="1"/>
    <w:next w:val="1"/>
    <w:qFormat/>
    <w:uiPriority w:val="0"/>
    <w:pPr>
      <w:jc w:val="left"/>
    </w:pPr>
    <w:rPr>
      <w:rFonts w:ascii="等线 Light" w:hAnsi="等线 Light" w:eastAsia="黑体" w:cs="黑体"/>
      <w:sz w:val="20"/>
      <w:szCs w:val="20"/>
    </w:rPr>
  </w:style>
  <w:style w:type="paragraph" w:styleId="5">
    <w:name w:val="footer"/>
    <w:basedOn w:val="1"/>
    <w:qFormat/>
    <w:uiPriority w:val="0"/>
    <w:pPr>
      <w:tabs>
        <w:tab w:val="center" w:pos="4153"/>
        <w:tab w:val="right" w:pos="8306"/>
      </w:tabs>
      <w:snapToGrid w:val="0"/>
      <w:spacing w:line="240" w:lineRule="atLeast"/>
      <w:jc w:val="left"/>
    </w:pPr>
    <w:rPr>
      <w:rFonts w:ascii="Arial" w:hAnsi="Arial" w:eastAsia="仿宋_GB2312"/>
      <w:sz w:val="18"/>
      <w:szCs w:val="18"/>
    </w:rPr>
  </w:style>
  <w:style w:type="paragraph" w:styleId="6">
    <w:name w:val="header"/>
    <w:basedOn w:val="1"/>
    <w:qFormat/>
    <w:uiPriority w:val="0"/>
    <w:pPr>
      <w:pBdr>
        <w:bottom w:val="single" w:color="auto" w:sz="6" w:space="1"/>
      </w:pBdr>
      <w:tabs>
        <w:tab w:val="center" w:pos="4153"/>
        <w:tab w:val="right" w:pos="8306"/>
      </w:tabs>
      <w:snapToGrid w:val="0"/>
      <w:spacing w:line="240" w:lineRule="atLeast"/>
      <w:jc w:val="center"/>
    </w:pPr>
    <w:rPr>
      <w:rFonts w:ascii="Arial" w:hAnsi="Arial" w:eastAsia="仿宋_GB2312"/>
      <w:sz w:val="18"/>
      <w:szCs w:val="18"/>
    </w:rPr>
  </w:style>
  <w:style w:type="paragraph" w:styleId="7">
    <w:name w:val="toc 1"/>
    <w:basedOn w:val="1"/>
    <w:next w:val="1"/>
    <w:qFormat/>
    <w:uiPriority w:val="0"/>
    <w:pPr>
      <w:tabs>
        <w:tab w:val="right" w:leader="dot" w:pos="8296"/>
      </w:tabs>
      <w:spacing w:before="120" w:beforeLines="0" w:after="120" w:afterLines="0"/>
      <w:ind w:firstLine="0" w:firstLineChars="0"/>
      <w:jc w:val="left"/>
    </w:pPr>
    <w:rPr>
      <w:rFonts w:ascii="等线" w:eastAsia="等线"/>
      <w:b/>
      <w:bCs/>
      <w:caps/>
      <w:sz w:val="20"/>
      <w:szCs w:val="20"/>
    </w:rPr>
  </w:style>
  <w:style w:type="paragraph" w:styleId="8">
    <w:name w:val="table of figures"/>
    <w:basedOn w:val="1"/>
    <w:next w:val="1"/>
    <w:qFormat/>
    <w:uiPriority w:val="0"/>
    <w:pPr>
      <w:ind w:leftChars="200" w:hanging="200" w:hangingChars="200"/>
    </w:pPr>
  </w:style>
  <w:style w:type="paragraph" w:styleId="9">
    <w:name w:val="toc 2"/>
    <w:basedOn w:val="1"/>
    <w:next w:val="1"/>
    <w:qFormat/>
    <w:uiPriority w:val="0"/>
    <w:pPr>
      <w:ind w:left="300"/>
      <w:jc w:val="left"/>
    </w:pPr>
    <w:rPr>
      <w:rFonts w:ascii="等线" w:eastAsia="等线"/>
      <w:smallCaps/>
      <w:sz w:val="20"/>
      <w:szCs w:val="20"/>
    </w:rPr>
  </w:style>
  <w:style w:type="character" w:styleId="12">
    <w:name w:val="Strong"/>
    <w:qFormat/>
    <w:uiPriority w:val="0"/>
    <w:rPr>
      <w:b/>
      <w:bCs/>
    </w:rPr>
  </w:style>
  <w:style w:type="character" w:styleId="13">
    <w:name w:val="page number"/>
    <w:basedOn w:val="11"/>
    <w:qFormat/>
    <w:uiPriority w:val="0"/>
  </w:style>
  <w:style w:type="character" w:styleId="14">
    <w:name w:val="Hyperlink"/>
    <w:qFormat/>
    <w:uiPriority w:val="0"/>
    <w:rPr>
      <w:color w:val="0563C1"/>
      <w:u w:val="single"/>
    </w:rPr>
  </w:style>
  <w:style w:type="paragraph" w:customStyle="1" w:styleId="15">
    <w:name w:val="篇标题"/>
    <w:basedOn w:val="1"/>
    <w:qFormat/>
    <w:uiPriority w:val="0"/>
    <w:pPr>
      <w:adjustRightInd w:val="0"/>
      <w:snapToGrid w:val="0"/>
      <w:jc w:val="center"/>
      <w:outlineLvl w:val="0"/>
    </w:pPr>
    <w:rPr>
      <w:rFonts w:ascii="Arial" w:hAnsi="Arial" w:eastAsia="华文中宋"/>
      <w:b/>
      <w:sz w:val="36"/>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image" Target="media/image6.jpe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59</Pages>
  <Words>25582</Words>
  <Characters>26247</Characters>
  <Lines>0</Lines>
  <Paragraphs>0</Paragraphs>
  <TotalTime>2</TotalTime>
  <ScaleCrop>false</ScaleCrop>
  <LinksUpToDate>false</LinksUpToDate>
  <CharactersWithSpaces>26588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2024-12-06T01:42:00Z</dcterms:created>
  <dc:creator>jungkook</dc:creator>
  <cp:lastModifiedBy>jungkook</cp:lastModifiedBy>
  <dcterms:modified xsi:type="dcterms:W3CDTF">2024-12-06T01:48:21Z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57B1EA79C53145499DC210FCF34D49EE_13</vt:lpwstr>
  </property>
</Properties>
</file>